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黑体" w:hAnsi="黑体" w:eastAsia="黑体"/>
          <w:sz w:val="32"/>
          <w:szCs w:val="32"/>
        </w:rPr>
      </w:pPr>
      <w:r>
        <w:rPr>
          <w:rFonts w:ascii="黑体" w:hAnsi="黑体" w:eastAsia="黑体"/>
          <w:sz w:val="32"/>
          <w:szCs w:val="32"/>
        </w:rPr>
        <w:t>高校资助育人工作评价体系的构建</w:t>
      </w:r>
      <w:r>
        <w:rPr>
          <w:rFonts w:hint="eastAsia" w:ascii="黑体" w:hAnsi="黑体" w:eastAsia="黑体"/>
          <w:sz w:val="32"/>
          <w:szCs w:val="32"/>
        </w:rPr>
        <w:t>与</w:t>
      </w:r>
      <w:r>
        <w:rPr>
          <w:rFonts w:ascii="黑体" w:hAnsi="黑体" w:eastAsia="黑体"/>
          <w:sz w:val="32"/>
          <w:szCs w:val="32"/>
        </w:rPr>
        <w:t>启示</w:t>
      </w:r>
      <w:r>
        <w:rPr>
          <w:rStyle w:val="12"/>
          <w:rFonts w:ascii="黑体" w:hAnsi="黑体" w:eastAsia="黑体"/>
          <w:sz w:val="32"/>
          <w:szCs w:val="32"/>
        </w:rPr>
        <w:footnoteReference w:id="0"/>
      </w:r>
    </w:p>
    <w:p>
      <w:pPr>
        <w:spacing w:before="156" w:beforeLines="50" w:after="156" w:afterLines="50"/>
        <w:jc w:val="center"/>
        <w:rPr>
          <w:rFonts w:ascii="宋体" w:hAnsi="宋体" w:eastAsia="宋体"/>
          <w:szCs w:val="21"/>
        </w:rPr>
      </w:pPr>
      <w:r>
        <w:rPr>
          <w:rFonts w:hint="eastAsia" w:ascii="宋体" w:hAnsi="宋体" w:eastAsia="宋体"/>
          <w:szCs w:val="21"/>
        </w:rPr>
        <w:t>王贝贝</w:t>
      </w:r>
    </w:p>
    <w:p>
      <w:pPr>
        <w:spacing w:before="156" w:beforeLines="50" w:after="156" w:afterLines="50"/>
        <w:jc w:val="center"/>
        <w:rPr>
          <w:rFonts w:ascii="宋体" w:hAnsi="宋体" w:eastAsia="宋体"/>
          <w:szCs w:val="21"/>
        </w:rPr>
      </w:pPr>
      <w:r>
        <w:rPr>
          <w:rFonts w:hint="eastAsia" w:ascii="宋体" w:hAnsi="宋体" w:eastAsia="宋体"/>
          <w:szCs w:val="21"/>
        </w:rPr>
        <w:t>（中国矿业大学公共管理学院</w:t>
      </w:r>
      <w:r>
        <w:rPr>
          <w:rFonts w:hint="eastAsia" w:ascii="宋体" w:hAnsi="宋体" w:eastAsia="宋体"/>
          <w:szCs w:val="21"/>
          <w:lang w:eastAsia="zh-CN"/>
        </w:rPr>
        <w:t>，</w:t>
      </w:r>
      <w:r>
        <w:rPr>
          <w:rFonts w:hint="eastAsia" w:ascii="宋体" w:hAnsi="宋体" w:eastAsia="宋体"/>
          <w:szCs w:val="21"/>
        </w:rPr>
        <w:t>江苏 徐州 2</w:t>
      </w:r>
      <w:r>
        <w:rPr>
          <w:rFonts w:ascii="宋体" w:hAnsi="宋体" w:eastAsia="宋体"/>
          <w:szCs w:val="21"/>
        </w:rPr>
        <w:t>21100</w:t>
      </w:r>
      <w:r>
        <w:rPr>
          <w:rFonts w:hint="eastAsia" w:ascii="宋体" w:hAnsi="宋体" w:eastAsia="宋体"/>
          <w:szCs w:val="21"/>
        </w:rPr>
        <w:t>）</w:t>
      </w:r>
    </w:p>
    <w:p>
      <w:pPr>
        <w:spacing w:line="400" w:lineRule="exact"/>
        <w:ind w:firstLine="422" w:firstLineChars="200"/>
        <w:jc w:val="left"/>
        <w:rPr>
          <w:rFonts w:ascii="宋体" w:hAnsi="宋体" w:eastAsia="宋体"/>
          <w:szCs w:val="21"/>
        </w:rPr>
      </w:pPr>
      <w:r>
        <w:rPr>
          <w:rFonts w:hint="eastAsia" w:ascii="宋体" w:hAnsi="宋体" w:eastAsia="宋体"/>
          <w:b/>
          <w:szCs w:val="21"/>
        </w:rPr>
        <w:t>摘要</w:t>
      </w:r>
      <w:r>
        <w:rPr>
          <w:rFonts w:ascii="宋体" w:hAnsi="宋体" w:eastAsia="宋体"/>
          <w:b/>
          <w:szCs w:val="21"/>
        </w:rPr>
        <w:t>：</w:t>
      </w:r>
      <w:r>
        <w:rPr>
          <w:rFonts w:hint="eastAsia" w:ascii="宋体" w:hAnsi="宋体" w:eastAsia="宋体"/>
          <w:szCs w:val="21"/>
        </w:rPr>
        <w:t>构建</w:t>
      </w:r>
      <w:r>
        <w:rPr>
          <w:rFonts w:ascii="宋体" w:hAnsi="宋体" w:eastAsia="宋体"/>
          <w:szCs w:val="21"/>
        </w:rPr>
        <w:t>科学的资助育人评价体系，对于</w:t>
      </w:r>
      <w:r>
        <w:rPr>
          <w:rFonts w:hint="eastAsia" w:ascii="宋体" w:hAnsi="宋体" w:eastAsia="宋体"/>
          <w:szCs w:val="21"/>
        </w:rPr>
        <w:t>改进</w:t>
      </w:r>
      <w:r>
        <w:rPr>
          <w:rFonts w:ascii="宋体" w:hAnsi="宋体" w:eastAsia="宋体"/>
          <w:szCs w:val="21"/>
        </w:rPr>
        <w:t>高校资助</w:t>
      </w:r>
      <w:r>
        <w:rPr>
          <w:rFonts w:hint="eastAsia" w:ascii="宋体" w:hAnsi="宋体" w:eastAsia="宋体"/>
          <w:szCs w:val="21"/>
        </w:rPr>
        <w:t>育人</w:t>
      </w:r>
      <w:r>
        <w:rPr>
          <w:rFonts w:ascii="宋体" w:hAnsi="宋体" w:eastAsia="宋体"/>
          <w:szCs w:val="21"/>
        </w:rPr>
        <w:t>工作</w:t>
      </w:r>
      <w:r>
        <w:rPr>
          <w:rFonts w:hint="eastAsia" w:ascii="宋体" w:hAnsi="宋体" w:eastAsia="宋体"/>
          <w:szCs w:val="21"/>
        </w:rPr>
        <w:t>的实效性</w:t>
      </w:r>
      <w:r>
        <w:rPr>
          <w:rFonts w:ascii="宋体" w:hAnsi="宋体" w:eastAsia="宋体"/>
          <w:szCs w:val="21"/>
        </w:rPr>
        <w:t>具有重要指导作用。</w:t>
      </w:r>
      <w:r>
        <w:rPr>
          <w:rFonts w:hint="eastAsia" w:ascii="宋体" w:hAnsi="宋体" w:eastAsia="宋体"/>
          <w:szCs w:val="21"/>
        </w:rPr>
        <w:t>通过</w:t>
      </w:r>
      <w:r>
        <w:rPr>
          <w:rFonts w:ascii="宋体" w:hAnsi="宋体" w:eastAsia="宋体"/>
          <w:szCs w:val="21"/>
        </w:rPr>
        <w:t>对当前资助育人现状进行分析，</w:t>
      </w:r>
      <w:r>
        <w:rPr>
          <w:rFonts w:hint="eastAsia" w:ascii="宋体" w:hAnsi="宋体" w:eastAsia="宋体"/>
          <w:szCs w:val="21"/>
        </w:rPr>
        <w:t>梳理</w:t>
      </w:r>
      <w:r>
        <w:rPr>
          <w:rFonts w:ascii="宋体" w:hAnsi="宋体" w:eastAsia="宋体"/>
          <w:szCs w:val="21"/>
        </w:rPr>
        <w:t>存在的问题，</w:t>
      </w:r>
      <w:r>
        <w:rPr>
          <w:rFonts w:hint="eastAsia" w:ascii="宋体" w:hAnsi="宋体" w:eastAsia="宋体"/>
          <w:szCs w:val="21"/>
        </w:rPr>
        <w:t>在此基础上</w:t>
      </w:r>
      <w:r>
        <w:rPr>
          <w:rFonts w:ascii="宋体" w:hAnsi="宋体" w:eastAsia="宋体"/>
          <w:szCs w:val="21"/>
        </w:rPr>
        <w:t>利用层次分析法构建资助育人评价</w:t>
      </w:r>
      <w:r>
        <w:rPr>
          <w:rFonts w:hint="eastAsia" w:ascii="宋体" w:hAnsi="宋体" w:eastAsia="宋体"/>
          <w:szCs w:val="21"/>
        </w:rPr>
        <w:t>体系</w:t>
      </w:r>
      <w:r>
        <w:rPr>
          <w:rFonts w:ascii="宋体" w:hAnsi="宋体" w:eastAsia="宋体"/>
          <w:szCs w:val="21"/>
        </w:rPr>
        <w:t>，</w:t>
      </w:r>
      <w:r>
        <w:rPr>
          <w:rFonts w:hint="eastAsia" w:ascii="宋体" w:hAnsi="宋体" w:eastAsia="宋体"/>
          <w:szCs w:val="21"/>
        </w:rPr>
        <w:t>为</w:t>
      </w:r>
      <w:r>
        <w:rPr>
          <w:rFonts w:ascii="宋体" w:hAnsi="宋体" w:eastAsia="宋体"/>
          <w:szCs w:val="21"/>
        </w:rPr>
        <w:t>改进资助育人工作</w:t>
      </w:r>
      <w:r>
        <w:rPr>
          <w:rFonts w:hint="eastAsia" w:ascii="宋体" w:hAnsi="宋体" w:eastAsia="宋体"/>
          <w:szCs w:val="21"/>
        </w:rPr>
        <w:t>现状</w:t>
      </w:r>
      <w:r>
        <w:rPr>
          <w:rFonts w:ascii="宋体" w:hAnsi="宋体" w:eastAsia="宋体"/>
          <w:szCs w:val="21"/>
        </w:rPr>
        <w:t>提供对策建议。</w:t>
      </w:r>
    </w:p>
    <w:p>
      <w:pPr>
        <w:spacing w:line="400" w:lineRule="exact"/>
        <w:ind w:firstLine="422" w:firstLineChars="200"/>
        <w:jc w:val="left"/>
        <w:rPr>
          <w:rFonts w:ascii="宋体" w:hAnsi="宋体" w:eastAsia="宋体"/>
          <w:szCs w:val="24"/>
        </w:rPr>
      </w:pPr>
      <w:r>
        <w:rPr>
          <w:rFonts w:hint="eastAsia" w:ascii="宋体" w:hAnsi="宋体" w:eastAsia="宋体"/>
          <w:b/>
          <w:szCs w:val="24"/>
        </w:rPr>
        <w:t>关键词</w:t>
      </w:r>
      <w:r>
        <w:rPr>
          <w:rFonts w:ascii="宋体" w:hAnsi="宋体" w:eastAsia="宋体"/>
          <w:b/>
          <w:szCs w:val="24"/>
        </w:rPr>
        <w:t>：</w:t>
      </w:r>
      <w:r>
        <w:rPr>
          <w:rFonts w:ascii="宋体" w:hAnsi="宋体" w:eastAsia="宋体"/>
          <w:szCs w:val="24"/>
        </w:rPr>
        <w:t>资助育人</w:t>
      </w:r>
      <w:r>
        <w:rPr>
          <w:rFonts w:hint="eastAsia" w:ascii="宋体" w:hAnsi="宋体" w:eastAsia="宋体"/>
          <w:szCs w:val="24"/>
        </w:rPr>
        <w:t>；层次分析法</w:t>
      </w:r>
      <w:r>
        <w:rPr>
          <w:rFonts w:ascii="宋体" w:hAnsi="宋体" w:eastAsia="宋体"/>
          <w:szCs w:val="24"/>
        </w:rPr>
        <w:t>；</w:t>
      </w:r>
      <w:r>
        <w:rPr>
          <w:rFonts w:hint="eastAsia" w:ascii="宋体" w:hAnsi="宋体" w:eastAsia="宋体"/>
          <w:szCs w:val="24"/>
        </w:rPr>
        <w:t>评价体系</w:t>
      </w:r>
    </w:p>
    <w:p>
      <w:pPr>
        <w:spacing w:line="400" w:lineRule="exact"/>
        <w:ind w:firstLine="422" w:firstLineChars="200"/>
        <w:jc w:val="left"/>
        <w:rPr>
          <w:rFonts w:ascii="宋体" w:hAnsi="宋体" w:cs="宋体"/>
          <w:color w:val="000000"/>
          <w:szCs w:val="21"/>
        </w:rPr>
      </w:pPr>
      <w:r>
        <w:rPr>
          <w:rFonts w:hint="eastAsia" w:ascii="宋体" w:hAnsi="宋体" w:eastAsia="宋体"/>
          <w:b/>
          <w:szCs w:val="21"/>
        </w:rPr>
        <w:t>中图分类号</w:t>
      </w:r>
      <w:r>
        <w:rPr>
          <w:rFonts w:ascii="宋体" w:hAnsi="宋体" w:eastAsia="宋体"/>
          <w:b/>
          <w:szCs w:val="21"/>
        </w:rPr>
        <w:t>：</w:t>
      </w:r>
      <w:r>
        <w:rPr>
          <w:rFonts w:hint="eastAsia" w:ascii="宋体" w:hAnsi="宋体" w:eastAsia="宋体"/>
          <w:szCs w:val="21"/>
        </w:rPr>
        <w:t xml:space="preserve">G641 </w:t>
      </w:r>
      <w:r>
        <w:rPr>
          <w:rFonts w:hint="eastAsia" w:ascii="宋体" w:hAnsi="宋体" w:eastAsia="宋体"/>
          <w:sz w:val="24"/>
          <w:szCs w:val="24"/>
        </w:rPr>
        <w:t xml:space="preserve">     </w:t>
      </w:r>
      <w:r>
        <w:rPr>
          <w:rFonts w:hint="eastAsia" w:ascii="宋体" w:hAnsi="宋体" w:eastAsia="宋体"/>
          <w:b/>
          <w:szCs w:val="21"/>
        </w:rPr>
        <w:t>文献</w:t>
      </w:r>
      <w:r>
        <w:rPr>
          <w:rFonts w:ascii="宋体" w:hAnsi="宋体" w:eastAsia="宋体"/>
          <w:b/>
          <w:szCs w:val="21"/>
        </w:rPr>
        <w:t>标识码：</w:t>
      </w:r>
      <w:r>
        <w:rPr>
          <w:rFonts w:hint="eastAsia" w:ascii="宋体" w:hAnsi="宋体" w:eastAsia="宋体"/>
          <w:szCs w:val="21"/>
        </w:rPr>
        <w:t>A</w:t>
      </w:r>
      <w:r>
        <w:rPr>
          <w:rFonts w:ascii="宋体" w:hAnsi="宋体" w:eastAsia="宋体"/>
          <w:szCs w:val="21"/>
        </w:rPr>
        <w:t xml:space="preserve">     </w:t>
      </w:r>
      <w:r>
        <w:rPr>
          <w:rFonts w:hint="eastAsia" w:ascii="宋体" w:hAnsi="宋体" w:eastAsia="宋体" w:cs="宋体"/>
          <w:b/>
          <w:bCs/>
          <w:color w:val="000000"/>
          <w:szCs w:val="21"/>
        </w:rPr>
        <w:t>文章编号：</w:t>
      </w:r>
      <w:r>
        <w:rPr>
          <w:rFonts w:ascii="宋体" w:hAnsi="宋体" w:eastAsia="宋体" w:cs="宋体"/>
          <w:color w:val="000000"/>
          <w:szCs w:val="21"/>
        </w:rPr>
        <w:t xml:space="preserve"> </w:t>
      </w:r>
    </w:p>
    <w:p>
      <w:pPr>
        <w:spacing w:line="400" w:lineRule="exact"/>
        <w:ind w:firstLine="420" w:firstLineChars="200"/>
        <w:jc w:val="left"/>
        <w:rPr>
          <w:rFonts w:ascii="宋体" w:hAnsi="宋体" w:cs="宋体"/>
          <w:color w:val="000000"/>
          <w:szCs w:val="21"/>
        </w:rPr>
      </w:pPr>
    </w:p>
    <w:p>
      <w:pPr>
        <w:spacing w:line="400" w:lineRule="exact"/>
        <w:ind w:firstLine="482" w:firstLineChars="200"/>
        <w:jc w:val="left"/>
        <w:rPr>
          <w:rFonts w:ascii="宋体" w:hAnsi="宋体" w:eastAsia="宋体"/>
          <w:b/>
          <w:bCs/>
          <w:sz w:val="24"/>
          <w:szCs w:val="24"/>
        </w:rPr>
      </w:pPr>
      <w:r>
        <w:rPr>
          <w:rFonts w:hint="eastAsia" w:ascii="宋体" w:hAnsi="宋体" w:eastAsia="宋体"/>
          <w:b/>
          <w:bCs/>
          <w:sz w:val="24"/>
          <w:szCs w:val="24"/>
        </w:rPr>
        <w:t>引言</w:t>
      </w:r>
    </w:p>
    <w:p>
      <w:pPr>
        <w:spacing w:line="400" w:lineRule="exact"/>
        <w:ind w:firstLine="420" w:firstLineChars="200"/>
        <w:rPr>
          <w:rFonts w:ascii="宋体" w:hAnsi="宋体" w:eastAsia="宋体"/>
          <w:szCs w:val="21"/>
        </w:rPr>
      </w:pPr>
      <w:r>
        <w:rPr>
          <w:rFonts w:hint="eastAsia" w:ascii="宋体" w:hAnsi="宋体" w:eastAsia="宋体"/>
          <w:szCs w:val="21"/>
        </w:rPr>
        <w:t>2019年2月28日</w:t>
      </w:r>
      <w:r>
        <w:rPr>
          <w:rFonts w:ascii="宋体" w:hAnsi="宋体" w:eastAsia="宋体"/>
          <w:szCs w:val="21"/>
        </w:rPr>
        <w:t>，</w:t>
      </w:r>
      <w:r>
        <w:rPr>
          <w:rFonts w:hint="eastAsia" w:ascii="宋体" w:hAnsi="宋体" w:eastAsia="宋体"/>
          <w:szCs w:val="21"/>
        </w:rPr>
        <w:t>全国学生资助管理中心发布了</w:t>
      </w:r>
      <w:r>
        <w:rPr>
          <w:rFonts w:ascii="宋体" w:hAnsi="宋体" w:eastAsia="宋体"/>
          <w:szCs w:val="21"/>
        </w:rPr>
        <w:t>《2018年中国学生资助发展报告》</w:t>
      </w:r>
      <w:r>
        <w:rPr>
          <w:rFonts w:hint="eastAsia" w:ascii="宋体" w:hAnsi="宋体" w:eastAsia="宋体"/>
          <w:szCs w:val="21"/>
        </w:rPr>
        <w:t>，</w:t>
      </w:r>
      <w:r>
        <w:rPr>
          <w:rFonts w:ascii="宋体" w:hAnsi="宋体" w:eastAsia="宋体"/>
          <w:szCs w:val="21"/>
        </w:rPr>
        <w:t>根据报告</w:t>
      </w:r>
      <w:r>
        <w:rPr>
          <w:rFonts w:hint="eastAsia" w:ascii="宋体" w:hAnsi="宋体" w:eastAsia="宋体"/>
          <w:szCs w:val="21"/>
        </w:rPr>
        <w:t>数据显示：党的</w:t>
      </w:r>
      <w:r>
        <w:rPr>
          <w:rFonts w:ascii="宋体" w:hAnsi="宋体" w:eastAsia="宋体"/>
          <w:szCs w:val="21"/>
        </w:rPr>
        <w:t>十八大以来，全国</w:t>
      </w:r>
      <w:r>
        <w:rPr>
          <w:rFonts w:hint="eastAsia" w:ascii="宋体" w:hAnsi="宋体" w:eastAsia="宋体"/>
          <w:szCs w:val="21"/>
        </w:rPr>
        <w:t>共有6.2亿</w:t>
      </w:r>
      <w:r>
        <w:rPr>
          <w:rFonts w:ascii="宋体" w:hAnsi="宋体" w:eastAsia="宋体"/>
          <w:szCs w:val="21"/>
        </w:rPr>
        <w:t>学生受到各类资助，</w:t>
      </w:r>
      <w:r>
        <w:rPr>
          <w:rFonts w:hint="eastAsia" w:ascii="宋体" w:hAnsi="宋体" w:eastAsia="宋体"/>
          <w:szCs w:val="21"/>
        </w:rPr>
        <w:t>资助</w:t>
      </w:r>
      <w:r>
        <w:rPr>
          <w:rFonts w:ascii="宋体" w:hAnsi="宋体" w:eastAsia="宋体"/>
          <w:szCs w:val="21"/>
        </w:rPr>
        <w:t>金额</w:t>
      </w:r>
      <w:r>
        <w:rPr>
          <w:rFonts w:hint="eastAsia" w:ascii="宋体" w:hAnsi="宋体" w:eastAsia="宋体"/>
          <w:szCs w:val="21"/>
        </w:rPr>
        <w:t>累计</w:t>
      </w:r>
      <w:r>
        <w:rPr>
          <w:rFonts w:ascii="宋体" w:hAnsi="宋体" w:eastAsia="宋体"/>
          <w:szCs w:val="21"/>
        </w:rPr>
        <w:t>超过</w:t>
      </w:r>
      <w:r>
        <w:rPr>
          <w:rFonts w:hint="eastAsia" w:ascii="宋体" w:hAnsi="宋体" w:eastAsia="宋体"/>
          <w:szCs w:val="21"/>
        </w:rPr>
        <w:t>1万</w:t>
      </w:r>
      <w:r>
        <w:rPr>
          <w:rFonts w:ascii="宋体" w:hAnsi="宋体" w:eastAsia="宋体"/>
          <w:szCs w:val="21"/>
        </w:rPr>
        <w:t>亿元。</w:t>
      </w:r>
      <w:r>
        <w:rPr>
          <w:rFonts w:hint="eastAsia" w:ascii="宋体" w:hAnsi="宋体" w:eastAsia="宋体"/>
          <w:szCs w:val="21"/>
        </w:rPr>
        <w:t>近年来</w:t>
      </w:r>
      <w:r>
        <w:rPr>
          <w:rFonts w:ascii="宋体" w:hAnsi="宋体" w:eastAsia="宋体"/>
          <w:szCs w:val="21"/>
        </w:rPr>
        <w:t>，</w:t>
      </w:r>
      <w:r>
        <w:rPr>
          <w:rFonts w:hint="eastAsia" w:ascii="宋体" w:hAnsi="宋体" w:eastAsia="宋体"/>
          <w:szCs w:val="21"/>
        </w:rPr>
        <w:t>政府</w:t>
      </w:r>
      <w:r>
        <w:rPr>
          <w:rFonts w:ascii="宋体" w:hAnsi="宋体" w:eastAsia="宋体"/>
          <w:szCs w:val="21"/>
        </w:rPr>
        <w:t>和</w:t>
      </w:r>
      <w:r>
        <w:rPr>
          <w:rFonts w:hint="eastAsia" w:ascii="宋体" w:hAnsi="宋体" w:eastAsia="宋体"/>
          <w:szCs w:val="21"/>
        </w:rPr>
        <w:t>学校</w:t>
      </w:r>
      <w:r>
        <w:rPr>
          <w:rFonts w:ascii="宋体" w:hAnsi="宋体" w:eastAsia="宋体"/>
          <w:szCs w:val="21"/>
        </w:rPr>
        <w:t>对于学生资助工作的</w:t>
      </w:r>
      <w:r>
        <w:rPr>
          <w:rFonts w:hint="eastAsia" w:ascii="宋体" w:hAnsi="宋体" w:eastAsia="宋体"/>
          <w:szCs w:val="21"/>
        </w:rPr>
        <w:t>重视</w:t>
      </w:r>
      <w:r>
        <w:rPr>
          <w:rFonts w:ascii="宋体" w:hAnsi="宋体" w:eastAsia="宋体"/>
          <w:szCs w:val="21"/>
        </w:rPr>
        <w:t>程度不断加大，</w:t>
      </w:r>
      <w:r>
        <w:rPr>
          <w:rFonts w:hint="eastAsia" w:ascii="宋体" w:hAnsi="宋体" w:eastAsia="宋体"/>
          <w:szCs w:val="21"/>
        </w:rPr>
        <w:t>资助</w:t>
      </w:r>
      <w:r>
        <w:rPr>
          <w:rFonts w:ascii="宋体" w:hAnsi="宋体" w:eastAsia="宋体"/>
          <w:szCs w:val="21"/>
        </w:rPr>
        <w:t>资金投入和</w:t>
      </w:r>
      <w:r>
        <w:rPr>
          <w:rFonts w:hint="eastAsia" w:ascii="宋体" w:hAnsi="宋体" w:eastAsia="宋体"/>
          <w:szCs w:val="21"/>
        </w:rPr>
        <w:t>受助</w:t>
      </w:r>
      <w:r>
        <w:rPr>
          <w:rFonts w:ascii="宋体" w:hAnsi="宋体" w:eastAsia="宋体"/>
          <w:szCs w:val="21"/>
        </w:rPr>
        <w:t>学生范围也在不断扩大。根据历年来</w:t>
      </w:r>
      <w:r>
        <w:rPr>
          <w:rFonts w:hint="eastAsia" w:ascii="宋体" w:hAnsi="宋体" w:eastAsia="宋体"/>
          <w:szCs w:val="21"/>
        </w:rPr>
        <w:t>《</w:t>
      </w:r>
      <w:r>
        <w:rPr>
          <w:rFonts w:ascii="宋体" w:hAnsi="宋体" w:eastAsia="宋体"/>
          <w:szCs w:val="21"/>
        </w:rPr>
        <w:t>中国学生资助发展报告</w:t>
      </w:r>
      <w:r>
        <w:rPr>
          <w:rFonts w:hint="eastAsia" w:ascii="宋体" w:hAnsi="宋体" w:eastAsia="宋体"/>
          <w:szCs w:val="21"/>
        </w:rPr>
        <w:t>》公布</w:t>
      </w:r>
      <w:r>
        <w:rPr>
          <w:rFonts w:ascii="宋体" w:hAnsi="宋体" w:eastAsia="宋体"/>
          <w:szCs w:val="21"/>
        </w:rPr>
        <w:t>的数据</w:t>
      </w:r>
      <w:r>
        <w:rPr>
          <w:rFonts w:hint="eastAsia" w:ascii="宋体" w:hAnsi="宋体" w:eastAsia="宋体"/>
          <w:szCs w:val="21"/>
        </w:rPr>
        <w:t>显示</w:t>
      </w:r>
      <w:r>
        <w:rPr>
          <w:rFonts w:ascii="宋体" w:hAnsi="宋体" w:eastAsia="宋体"/>
          <w:szCs w:val="21"/>
        </w:rPr>
        <w:t>，</w:t>
      </w:r>
      <w:r>
        <w:rPr>
          <w:rFonts w:hint="eastAsia" w:ascii="宋体" w:hAnsi="宋体" w:eastAsia="宋体"/>
          <w:szCs w:val="21"/>
        </w:rPr>
        <w:t>全国</w:t>
      </w:r>
      <w:r>
        <w:rPr>
          <w:rFonts w:ascii="宋体" w:hAnsi="宋体" w:eastAsia="宋体"/>
          <w:szCs w:val="21"/>
        </w:rPr>
        <w:t>学生资助金额和受助人数均在逐年上升。</w:t>
      </w:r>
      <w:r>
        <w:rPr>
          <w:rFonts w:hint="eastAsia" w:ascii="宋体" w:hAnsi="宋体" w:eastAsia="宋体"/>
          <w:szCs w:val="21"/>
        </w:rPr>
        <w:t>而在</w:t>
      </w:r>
      <w:r>
        <w:rPr>
          <w:rFonts w:ascii="宋体" w:hAnsi="宋体" w:eastAsia="宋体"/>
          <w:szCs w:val="21"/>
        </w:rPr>
        <w:t>高校资助</w:t>
      </w:r>
      <w:r>
        <w:rPr>
          <w:rFonts w:hint="eastAsia" w:ascii="宋体" w:hAnsi="宋体" w:eastAsia="宋体"/>
          <w:szCs w:val="21"/>
        </w:rPr>
        <w:t>工作</w:t>
      </w:r>
      <w:r>
        <w:rPr>
          <w:rFonts w:ascii="宋体" w:hAnsi="宋体" w:eastAsia="宋体"/>
          <w:szCs w:val="21"/>
        </w:rPr>
        <w:t>方面，我国已经建立起“</w:t>
      </w:r>
      <w:r>
        <w:rPr>
          <w:rFonts w:hint="eastAsia" w:ascii="宋体" w:hAnsi="宋体" w:eastAsia="宋体"/>
          <w:szCs w:val="21"/>
        </w:rPr>
        <w:t>奖、助、贷、勤、补、免</w:t>
      </w:r>
      <w:r>
        <w:rPr>
          <w:rFonts w:ascii="宋体" w:hAnsi="宋体" w:eastAsia="宋体"/>
          <w:szCs w:val="21"/>
        </w:rPr>
        <w:t>”</w:t>
      </w:r>
      <w:r>
        <w:rPr>
          <w:rFonts w:hint="eastAsia" w:ascii="宋体" w:hAnsi="宋体" w:eastAsia="宋体"/>
          <w:szCs w:val="21"/>
        </w:rPr>
        <w:t>的</w:t>
      </w:r>
      <w:r>
        <w:rPr>
          <w:rFonts w:ascii="宋体" w:hAnsi="宋体" w:eastAsia="宋体"/>
          <w:szCs w:val="21"/>
        </w:rPr>
        <w:t>新</w:t>
      </w:r>
      <w:r>
        <w:rPr>
          <w:rFonts w:hint="eastAsia" w:ascii="宋体" w:hAnsi="宋体" w:eastAsia="宋体"/>
          <w:szCs w:val="21"/>
        </w:rPr>
        <w:t>资助</w:t>
      </w:r>
      <w:r>
        <w:rPr>
          <w:rFonts w:ascii="宋体" w:hAnsi="宋体" w:eastAsia="宋体"/>
          <w:szCs w:val="21"/>
        </w:rPr>
        <w:t>体系，实现了</w:t>
      </w:r>
      <w:r>
        <w:rPr>
          <w:rFonts w:hint="eastAsia" w:ascii="宋体" w:hAnsi="宋体" w:eastAsia="宋体"/>
          <w:szCs w:val="21"/>
        </w:rPr>
        <w:t>“不让一名大学生因经济困难而辍学”的</w:t>
      </w:r>
      <w:r>
        <w:rPr>
          <w:rFonts w:ascii="宋体" w:hAnsi="宋体" w:eastAsia="宋体"/>
          <w:szCs w:val="21"/>
        </w:rPr>
        <w:t>庄严</w:t>
      </w:r>
      <w:r>
        <w:rPr>
          <w:rFonts w:hint="eastAsia" w:ascii="宋体" w:hAnsi="宋体" w:eastAsia="宋体"/>
          <w:szCs w:val="21"/>
        </w:rPr>
        <w:t>承诺</w:t>
      </w:r>
      <w:r>
        <w:rPr>
          <w:rFonts w:ascii="宋体" w:hAnsi="宋体" w:eastAsia="宋体"/>
          <w:szCs w:val="21"/>
        </w:rPr>
        <w:t>。</w:t>
      </w:r>
      <w:r>
        <w:rPr>
          <w:rFonts w:hint="eastAsia" w:ascii="宋体" w:hAnsi="宋体" w:eastAsia="宋体"/>
          <w:szCs w:val="21"/>
        </w:rPr>
        <w:t>随着高校</w:t>
      </w:r>
      <w:r>
        <w:rPr>
          <w:rFonts w:ascii="宋体" w:hAnsi="宋体" w:eastAsia="宋体"/>
          <w:szCs w:val="21"/>
        </w:rPr>
        <w:t>资助体系的日趋完善，对于受助学生</w:t>
      </w:r>
      <w:r>
        <w:rPr>
          <w:rFonts w:hint="eastAsia" w:ascii="宋体" w:hAnsi="宋体" w:eastAsia="宋体"/>
          <w:szCs w:val="21"/>
        </w:rPr>
        <w:t>的帮扶重点</w:t>
      </w:r>
      <w:r>
        <w:rPr>
          <w:rFonts w:ascii="宋体" w:hAnsi="宋体" w:eastAsia="宋体"/>
          <w:szCs w:val="21"/>
        </w:rPr>
        <w:t>开始转移到心理</w:t>
      </w:r>
      <w:r>
        <w:rPr>
          <w:rFonts w:hint="eastAsia" w:ascii="宋体" w:hAnsi="宋体" w:eastAsia="宋体"/>
          <w:szCs w:val="21"/>
        </w:rPr>
        <w:t>关怀</w:t>
      </w:r>
      <w:r>
        <w:rPr>
          <w:rFonts w:ascii="宋体" w:hAnsi="宋体" w:eastAsia="宋体"/>
          <w:szCs w:val="21"/>
        </w:rPr>
        <w:t>、学业指导、素质提升等</w:t>
      </w:r>
      <w:r>
        <w:rPr>
          <w:rFonts w:hint="eastAsia" w:ascii="宋体" w:hAnsi="宋体" w:eastAsia="宋体"/>
          <w:szCs w:val="21"/>
        </w:rPr>
        <w:t>精神层面</w:t>
      </w:r>
      <w:r>
        <w:rPr>
          <w:rFonts w:ascii="宋体" w:hAnsi="宋体" w:eastAsia="宋体"/>
          <w:szCs w:val="21"/>
        </w:rPr>
        <w:t>，</w:t>
      </w:r>
      <w:r>
        <w:rPr>
          <w:rFonts w:hint="eastAsia" w:ascii="宋体" w:hAnsi="宋体" w:eastAsia="宋体"/>
          <w:szCs w:val="21"/>
        </w:rPr>
        <w:t>“国家</w:t>
      </w:r>
      <w:r>
        <w:rPr>
          <w:rFonts w:ascii="宋体" w:hAnsi="宋体" w:eastAsia="宋体"/>
          <w:szCs w:val="21"/>
        </w:rPr>
        <w:t>学生资助政策</w:t>
      </w:r>
      <w:r>
        <w:rPr>
          <w:rFonts w:hint="eastAsia" w:ascii="宋体" w:hAnsi="宋体" w:eastAsia="宋体"/>
          <w:szCs w:val="21"/>
        </w:rPr>
        <w:t>已从</w:t>
      </w:r>
      <w:r>
        <w:rPr>
          <w:rFonts w:ascii="宋体" w:hAnsi="宋体" w:eastAsia="宋体"/>
          <w:szCs w:val="21"/>
        </w:rPr>
        <w:t>确保不辍学走向资助育人</w:t>
      </w:r>
      <w:r>
        <w:rPr>
          <w:rFonts w:hint="eastAsia" w:ascii="宋体" w:hAnsi="宋体" w:eastAsia="宋体"/>
          <w:szCs w:val="21"/>
        </w:rPr>
        <w:t>”。2017年，</w:t>
      </w:r>
      <w:r>
        <w:rPr>
          <w:rFonts w:ascii="宋体" w:hAnsi="宋体" w:eastAsia="宋体"/>
          <w:szCs w:val="21"/>
        </w:rPr>
        <w:t>教育部</w:t>
      </w:r>
      <w:r>
        <w:rPr>
          <w:rFonts w:hint="eastAsia" w:ascii="宋体" w:hAnsi="宋体" w:eastAsia="宋体"/>
          <w:szCs w:val="21"/>
        </w:rPr>
        <w:t>发布的</w:t>
      </w:r>
      <w:r>
        <w:rPr>
          <w:rFonts w:ascii="宋体" w:hAnsi="宋体" w:eastAsia="宋体"/>
          <w:szCs w:val="21"/>
        </w:rPr>
        <w:t>《</w:t>
      </w:r>
      <w:r>
        <w:rPr>
          <w:rFonts w:hint="eastAsia" w:ascii="宋体" w:hAnsi="宋体" w:eastAsia="宋体"/>
          <w:szCs w:val="21"/>
        </w:rPr>
        <w:t>高校思想政治工作质量提升工程实施纲要</w:t>
      </w:r>
      <w:r>
        <w:rPr>
          <w:rFonts w:ascii="宋体" w:hAnsi="宋体" w:eastAsia="宋体"/>
          <w:szCs w:val="21"/>
        </w:rPr>
        <w:t>》</w:t>
      </w:r>
      <w:r>
        <w:rPr>
          <w:rFonts w:hint="eastAsia" w:ascii="宋体" w:hAnsi="宋体" w:eastAsia="宋体"/>
          <w:szCs w:val="21"/>
        </w:rPr>
        <w:t>中</w:t>
      </w:r>
      <w:r>
        <w:rPr>
          <w:rFonts w:ascii="宋体" w:hAnsi="宋体" w:eastAsia="宋体"/>
          <w:szCs w:val="21"/>
        </w:rPr>
        <w:t>详细规划了“</w:t>
      </w:r>
      <w:r>
        <w:rPr>
          <w:rFonts w:hint="eastAsia" w:ascii="宋体" w:hAnsi="宋体" w:eastAsia="宋体"/>
          <w:szCs w:val="21"/>
        </w:rPr>
        <w:t>十大</w:t>
      </w:r>
      <w:r>
        <w:rPr>
          <w:rFonts w:ascii="宋体" w:hAnsi="宋体" w:eastAsia="宋体"/>
          <w:szCs w:val="21"/>
        </w:rPr>
        <w:t>育人”</w:t>
      </w:r>
      <w:r>
        <w:rPr>
          <w:rFonts w:hint="eastAsia" w:ascii="宋体" w:hAnsi="宋体" w:eastAsia="宋体"/>
          <w:szCs w:val="21"/>
        </w:rPr>
        <w:t>体系</w:t>
      </w:r>
      <w:r>
        <w:rPr>
          <w:rFonts w:ascii="宋体" w:hAnsi="宋体" w:eastAsia="宋体"/>
          <w:szCs w:val="21"/>
        </w:rPr>
        <w:t>，</w:t>
      </w:r>
      <w:r>
        <w:rPr>
          <w:rFonts w:hint="eastAsia" w:ascii="宋体" w:hAnsi="宋体" w:eastAsia="宋体"/>
          <w:szCs w:val="21"/>
        </w:rPr>
        <w:t>为</w:t>
      </w:r>
      <w:r>
        <w:rPr>
          <w:rFonts w:ascii="宋体" w:hAnsi="宋体" w:eastAsia="宋体"/>
          <w:szCs w:val="21"/>
        </w:rPr>
        <w:t>高校</w:t>
      </w:r>
      <w:r>
        <w:rPr>
          <w:rFonts w:hint="eastAsia" w:ascii="宋体" w:hAnsi="宋体" w:eastAsia="宋体"/>
          <w:szCs w:val="21"/>
        </w:rPr>
        <w:t>思想</w:t>
      </w:r>
      <w:r>
        <w:rPr>
          <w:rFonts w:ascii="宋体" w:hAnsi="宋体" w:eastAsia="宋体"/>
          <w:szCs w:val="21"/>
        </w:rPr>
        <w:t>政治工作的开展指明了方向，而资助育人</w:t>
      </w:r>
      <w:r>
        <w:rPr>
          <w:rFonts w:hint="eastAsia" w:ascii="宋体" w:hAnsi="宋体" w:eastAsia="宋体"/>
          <w:szCs w:val="21"/>
        </w:rPr>
        <w:t>工作</w:t>
      </w:r>
      <w:r>
        <w:rPr>
          <w:rFonts w:ascii="宋体" w:hAnsi="宋体" w:eastAsia="宋体"/>
          <w:szCs w:val="21"/>
        </w:rPr>
        <w:t>也</w:t>
      </w:r>
      <w:r>
        <w:rPr>
          <w:rFonts w:hint="eastAsia" w:ascii="宋体" w:hAnsi="宋体" w:eastAsia="宋体"/>
          <w:szCs w:val="21"/>
        </w:rPr>
        <w:t>成为</w:t>
      </w:r>
      <w:r>
        <w:rPr>
          <w:rFonts w:ascii="宋体" w:hAnsi="宋体" w:eastAsia="宋体"/>
          <w:szCs w:val="21"/>
        </w:rPr>
        <w:t>其中的一项重要内容</w:t>
      </w:r>
      <w:r>
        <w:rPr>
          <w:rFonts w:hint="eastAsia" w:ascii="宋体" w:hAnsi="宋体" w:eastAsia="宋体"/>
          <w:szCs w:val="21"/>
        </w:rPr>
        <w:t>被</w:t>
      </w:r>
      <w:r>
        <w:rPr>
          <w:rFonts w:ascii="宋体" w:hAnsi="宋体" w:eastAsia="宋体"/>
          <w:szCs w:val="21"/>
        </w:rPr>
        <w:t>列入</w:t>
      </w:r>
      <w:r>
        <w:rPr>
          <w:rFonts w:hint="eastAsia" w:ascii="宋体" w:hAnsi="宋体" w:eastAsia="宋体"/>
          <w:szCs w:val="21"/>
        </w:rPr>
        <w:t>实施纲要。新时期</w:t>
      </w:r>
      <w:r>
        <w:rPr>
          <w:rFonts w:ascii="宋体" w:hAnsi="宋体" w:eastAsia="宋体"/>
          <w:szCs w:val="21"/>
        </w:rPr>
        <w:t>，</w:t>
      </w:r>
      <w:r>
        <w:rPr>
          <w:rFonts w:hint="eastAsia" w:ascii="宋体" w:hAnsi="宋体" w:eastAsia="宋体"/>
          <w:szCs w:val="21"/>
        </w:rPr>
        <w:t>探讨</w:t>
      </w:r>
      <w:r>
        <w:rPr>
          <w:rFonts w:ascii="宋体" w:hAnsi="宋体" w:eastAsia="宋体"/>
          <w:szCs w:val="21"/>
        </w:rPr>
        <w:t>资助育人</w:t>
      </w:r>
      <w:r>
        <w:rPr>
          <w:rFonts w:hint="eastAsia" w:ascii="宋体" w:hAnsi="宋体" w:eastAsia="宋体"/>
          <w:szCs w:val="21"/>
        </w:rPr>
        <w:t>工作</w:t>
      </w:r>
      <w:r>
        <w:rPr>
          <w:rFonts w:ascii="宋体" w:hAnsi="宋体" w:eastAsia="宋体"/>
          <w:szCs w:val="21"/>
        </w:rPr>
        <w:t>的新</w:t>
      </w:r>
      <w:r>
        <w:rPr>
          <w:rFonts w:hint="eastAsia" w:ascii="宋体" w:hAnsi="宋体" w:eastAsia="宋体"/>
          <w:szCs w:val="21"/>
        </w:rPr>
        <w:t>内涵</w:t>
      </w:r>
      <w:r>
        <w:rPr>
          <w:rFonts w:ascii="宋体" w:hAnsi="宋体" w:eastAsia="宋体"/>
          <w:szCs w:val="21"/>
        </w:rPr>
        <w:t>、新模式、新方法</w:t>
      </w:r>
      <w:r>
        <w:rPr>
          <w:rFonts w:hint="eastAsia" w:ascii="宋体" w:hAnsi="宋体" w:eastAsia="宋体"/>
          <w:szCs w:val="21"/>
        </w:rPr>
        <w:t>，提高</w:t>
      </w:r>
      <w:r>
        <w:rPr>
          <w:rFonts w:ascii="宋体" w:hAnsi="宋体" w:eastAsia="宋体"/>
          <w:szCs w:val="21"/>
        </w:rPr>
        <w:t>资助育人工作的时效性必将成为高校资助工作</w:t>
      </w:r>
      <w:r>
        <w:rPr>
          <w:rFonts w:hint="eastAsia" w:ascii="宋体" w:hAnsi="宋体" w:eastAsia="宋体"/>
          <w:szCs w:val="21"/>
        </w:rPr>
        <w:t>开展</w:t>
      </w:r>
      <w:r>
        <w:rPr>
          <w:rFonts w:ascii="宋体" w:hAnsi="宋体" w:eastAsia="宋体"/>
          <w:szCs w:val="21"/>
        </w:rPr>
        <w:t>的重要课题。</w:t>
      </w:r>
    </w:p>
    <w:p>
      <w:pPr>
        <w:spacing w:line="400" w:lineRule="exact"/>
        <w:ind w:firstLine="482" w:firstLineChars="200"/>
        <w:rPr>
          <w:rFonts w:ascii="宋体" w:hAnsi="宋体" w:eastAsia="宋体"/>
          <w:b/>
          <w:sz w:val="24"/>
          <w:szCs w:val="24"/>
        </w:rPr>
      </w:pPr>
      <w:r>
        <w:rPr>
          <w:rFonts w:hint="eastAsia" w:ascii="宋体" w:hAnsi="宋体" w:eastAsia="宋体"/>
          <w:b/>
          <w:sz w:val="24"/>
          <w:szCs w:val="24"/>
        </w:rPr>
        <w:t>一</w:t>
      </w:r>
      <w:r>
        <w:rPr>
          <w:rFonts w:ascii="宋体" w:hAnsi="宋体" w:eastAsia="宋体"/>
          <w:b/>
          <w:sz w:val="24"/>
          <w:szCs w:val="24"/>
        </w:rPr>
        <w:t>、高校资助育人</w:t>
      </w:r>
      <w:r>
        <w:rPr>
          <w:rFonts w:hint="eastAsia" w:ascii="宋体" w:hAnsi="宋体" w:eastAsia="宋体"/>
          <w:b/>
          <w:sz w:val="24"/>
          <w:szCs w:val="24"/>
        </w:rPr>
        <w:t>工作的开</w:t>
      </w:r>
      <w:r>
        <w:rPr>
          <w:rFonts w:ascii="宋体" w:hAnsi="宋体" w:eastAsia="宋体"/>
          <w:b/>
          <w:sz w:val="24"/>
          <w:szCs w:val="24"/>
        </w:rPr>
        <w:t>展现状</w:t>
      </w:r>
    </w:p>
    <w:p>
      <w:pPr>
        <w:spacing w:line="400" w:lineRule="exact"/>
        <w:ind w:firstLine="422" w:firstLineChars="200"/>
        <w:rPr>
          <w:rFonts w:ascii="宋体" w:hAnsi="宋体" w:eastAsia="宋体"/>
          <w:b/>
          <w:szCs w:val="21"/>
        </w:rPr>
      </w:pPr>
      <w:r>
        <w:rPr>
          <w:rFonts w:hint="eastAsia" w:ascii="宋体" w:hAnsi="宋体" w:eastAsia="宋体"/>
          <w:b/>
          <w:szCs w:val="21"/>
        </w:rPr>
        <w:t>（一）资助</w:t>
      </w:r>
      <w:r>
        <w:rPr>
          <w:rFonts w:ascii="宋体" w:hAnsi="宋体" w:eastAsia="宋体"/>
          <w:b/>
          <w:szCs w:val="21"/>
        </w:rPr>
        <w:t>育人</w:t>
      </w:r>
      <w:r>
        <w:rPr>
          <w:rFonts w:hint="eastAsia" w:ascii="宋体" w:hAnsi="宋体" w:eastAsia="宋体"/>
          <w:b/>
          <w:szCs w:val="21"/>
        </w:rPr>
        <w:t>体系已经初步</w:t>
      </w:r>
      <w:r>
        <w:rPr>
          <w:rFonts w:ascii="宋体" w:hAnsi="宋体" w:eastAsia="宋体"/>
          <w:b/>
          <w:szCs w:val="21"/>
        </w:rPr>
        <w:t>建立</w:t>
      </w:r>
    </w:p>
    <w:p>
      <w:pPr>
        <w:spacing w:line="400" w:lineRule="exact"/>
        <w:ind w:firstLine="420" w:firstLineChars="200"/>
        <w:rPr>
          <w:rFonts w:ascii="宋体" w:hAnsi="宋体" w:eastAsia="宋体"/>
          <w:szCs w:val="21"/>
        </w:rPr>
      </w:pPr>
      <w:r>
        <w:rPr>
          <w:rFonts w:hint="eastAsia" w:ascii="宋体" w:hAnsi="宋体" w:eastAsia="宋体"/>
          <w:szCs w:val="21"/>
        </w:rPr>
        <w:t>资助育人是高校资助工作的固有功能，也是高校资助工作的高级功能。资助与</w:t>
      </w:r>
      <w:r>
        <w:rPr>
          <w:rFonts w:ascii="宋体" w:hAnsi="宋体" w:eastAsia="宋体"/>
          <w:szCs w:val="21"/>
        </w:rPr>
        <w:t>育人向来</w:t>
      </w:r>
      <w:r>
        <w:rPr>
          <w:rFonts w:hint="eastAsia" w:ascii="宋体" w:hAnsi="宋体" w:eastAsia="宋体"/>
          <w:szCs w:val="21"/>
        </w:rPr>
        <w:t>都</w:t>
      </w:r>
      <w:r>
        <w:rPr>
          <w:rFonts w:ascii="宋体" w:hAnsi="宋体" w:eastAsia="宋体"/>
          <w:szCs w:val="21"/>
        </w:rPr>
        <w:t>不是独立存在的，</w:t>
      </w:r>
      <w:r>
        <w:rPr>
          <w:rFonts w:hint="eastAsia" w:ascii="宋体" w:hAnsi="宋体" w:eastAsia="宋体"/>
          <w:szCs w:val="21"/>
        </w:rPr>
        <w:t>资助</w:t>
      </w:r>
      <w:r>
        <w:rPr>
          <w:rFonts w:ascii="宋体" w:hAnsi="宋体" w:eastAsia="宋体"/>
          <w:szCs w:val="21"/>
        </w:rPr>
        <w:t>的育人功能</w:t>
      </w:r>
      <w:r>
        <w:rPr>
          <w:rFonts w:hint="eastAsia" w:ascii="宋体" w:hAnsi="宋体" w:eastAsia="宋体"/>
          <w:szCs w:val="21"/>
        </w:rPr>
        <w:t>总会伴随各类资助</w:t>
      </w:r>
      <w:r>
        <w:rPr>
          <w:rFonts w:ascii="宋体" w:hAnsi="宋体" w:eastAsia="宋体"/>
          <w:szCs w:val="21"/>
        </w:rPr>
        <w:t>措施的推行或明或隐的发挥</w:t>
      </w:r>
      <w:r>
        <w:rPr>
          <w:rFonts w:hint="eastAsia" w:ascii="宋体" w:hAnsi="宋体" w:eastAsia="宋体"/>
          <w:szCs w:val="21"/>
        </w:rPr>
        <w:t>出来</w:t>
      </w:r>
      <w:r>
        <w:rPr>
          <w:rFonts w:ascii="宋体" w:hAnsi="宋体" w:eastAsia="宋体"/>
          <w:szCs w:val="21"/>
        </w:rPr>
        <w:t>。</w:t>
      </w:r>
      <w:r>
        <w:rPr>
          <w:rFonts w:hint="eastAsia" w:ascii="宋体" w:hAnsi="宋体" w:eastAsia="宋体"/>
          <w:szCs w:val="21"/>
        </w:rPr>
        <w:t>2007年</w:t>
      </w:r>
      <w:r>
        <w:rPr>
          <w:rFonts w:ascii="宋体" w:hAnsi="宋体" w:eastAsia="宋体"/>
          <w:szCs w:val="21"/>
        </w:rPr>
        <w:t>之前，我国</w:t>
      </w:r>
      <w:r>
        <w:rPr>
          <w:rFonts w:hint="eastAsia" w:ascii="宋体" w:hAnsi="宋体" w:eastAsia="宋体"/>
          <w:szCs w:val="21"/>
        </w:rPr>
        <w:t>高校</w:t>
      </w:r>
      <w:r>
        <w:rPr>
          <w:rFonts w:ascii="宋体" w:hAnsi="宋体" w:eastAsia="宋体"/>
          <w:szCs w:val="21"/>
        </w:rPr>
        <w:t>的资助工作重点</w:t>
      </w:r>
      <w:r>
        <w:rPr>
          <w:rFonts w:hint="eastAsia" w:ascii="宋体" w:hAnsi="宋体" w:eastAsia="宋体"/>
          <w:szCs w:val="21"/>
        </w:rPr>
        <w:t>落脚主要</w:t>
      </w:r>
      <w:r>
        <w:rPr>
          <w:rFonts w:ascii="宋体" w:hAnsi="宋体" w:eastAsia="宋体"/>
          <w:szCs w:val="21"/>
        </w:rPr>
        <w:t>在通过奖学金</w:t>
      </w:r>
      <w:r>
        <w:rPr>
          <w:rFonts w:hint="eastAsia" w:ascii="宋体" w:hAnsi="宋体" w:eastAsia="宋体"/>
          <w:szCs w:val="21"/>
        </w:rPr>
        <w:t>、</w:t>
      </w:r>
      <w:r>
        <w:rPr>
          <w:rFonts w:ascii="宋体" w:hAnsi="宋体" w:eastAsia="宋体"/>
          <w:szCs w:val="21"/>
        </w:rPr>
        <w:t>助学金</w:t>
      </w:r>
      <w:r>
        <w:rPr>
          <w:rFonts w:hint="eastAsia" w:ascii="宋体" w:hAnsi="宋体" w:eastAsia="宋体"/>
          <w:szCs w:val="21"/>
        </w:rPr>
        <w:t>、</w:t>
      </w:r>
      <w:r>
        <w:rPr>
          <w:rFonts w:ascii="宋体" w:hAnsi="宋体" w:eastAsia="宋体"/>
          <w:szCs w:val="21"/>
        </w:rPr>
        <w:t>助学贷款和勤工助学的</w:t>
      </w:r>
      <w:r>
        <w:rPr>
          <w:rFonts w:hint="eastAsia" w:ascii="宋体" w:hAnsi="宋体" w:eastAsia="宋体"/>
          <w:szCs w:val="21"/>
        </w:rPr>
        <w:t>方式</w:t>
      </w:r>
      <w:r>
        <w:rPr>
          <w:rFonts w:ascii="宋体" w:hAnsi="宋体" w:eastAsia="宋体"/>
          <w:szCs w:val="21"/>
        </w:rPr>
        <w:t>对学生</w:t>
      </w:r>
      <w:r>
        <w:rPr>
          <w:rFonts w:hint="eastAsia" w:ascii="宋体" w:hAnsi="宋体" w:eastAsia="宋体"/>
          <w:szCs w:val="21"/>
        </w:rPr>
        <w:t>进行物质</w:t>
      </w:r>
      <w:r>
        <w:rPr>
          <w:rFonts w:ascii="宋体" w:hAnsi="宋体" w:eastAsia="宋体"/>
          <w:szCs w:val="21"/>
        </w:rPr>
        <w:t>帮扶，</w:t>
      </w:r>
      <w:r>
        <w:rPr>
          <w:rFonts w:hint="eastAsia" w:ascii="宋体" w:hAnsi="宋体" w:eastAsia="宋体"/>
          <w:szCs w:val="21"/>
        </w:rPr>
        <w:t>其育人</w:t>
      </w:r>
      <w:r>
        <w:rPr>
          <w:rFonts w:ascii="宋体" w:hAnsi="宋体" w:eastAsia="宋体"/>
          <w:szCs w:val="21"/>
        </w:rPr>
        <w:t>功能</w:t>
      </w:r>
      <w:r>
        <w:rPr>
          <w:rFonts w:hint="eastAsia" w:ascii="宋体" w:hAnsi="宋体" w:eastAsia="宋体"/>
          <w:szCs w:val="21"/>
        </w:rPr>
        <w:t>则</w:t>
      </w:r>
      <w:r>
        <w:rPr>
          <w:rFonts w:ascii="宋体" w:hAnsi="宋体" w:eastAsia="宋体"/>
          <w:szCs w:val="21"/>
        </w:rPr>
        <w:t>未受</w:t>
      </w:r>
      <w:r>
        <w:rPr>
          <w:rFonts w:hint="eastAsia" w:ascii="宋体" w:hAnsi="宋体" w:eastAsia="宋体"/>
          <w:szCs w:val="21"/>
        </w:rPr>
        <w:t>到</w:t>
      </w:r>
      <w:r>
        <w:rPr>
          <w:rFonts w:ascii="宋体" w:hAnsi="宋体" w:eastAsia="宋体"/>
          <w:szCs w:val="21"/>
        </w:rPr>
        <w:t>足够重视。</w:t>
      </w:r>
      <w:r>
        <w:rPr>
          <w:rFonts w:hint="eastAsia" w:ascii="宋体" w:hAnsi="宋体" w:eastAsia="宋体"/>
          <w:szCs w:val="21"/>
        </w:rPr>
        <w:t>《国务院关于建立健全普通本科高校高等职业学校和中等职业学校家庭经济困难学生资助政策体系的意见》的出台，标志着</w:t>
      </w:r>
      <w:r>
        <w:rPr>
          <w:rFonts w:ascii="宋体" w:hAnsi="宋体" w:eastAsia="宋体"/>
          <w:szCs w:val="21"/>
        </w:rPr>
        <w:t>我国</w:t>
      </w:r>
      <w:r>
        <w:rPr>
          <w:rFonts w:hint="eastAsia" w:ascii="宋体" w:hAnsi="宋体" w:eastAsia="宋体"/>
          <w:szCs w:val="21"/>
        </w:rPr>
        <w:t>高校资助</w:t>
      </w:r>
      <w:r>
        <w:rPr>
          <w:rFonts w:ascii="宋体" w:hAnsi="宋体" w:eastAsia="宋体"/>
          <w:szCs w:val="21"/>
        </w:rPr>
        <w:t>工作进入新的阶段。这一时期，</w:t>
      </w:r>
      <w:r>
        <w:rPr>
          <w:rFonts w:hint="eastAsia" w:ascii="宋体" w:hAnsi="宋体" w:eastAsia="宋体"/>
          <w:szCs w:val="21"/>
        </w:rPr>
        <w:t>资助</w:t>
      </w:r>
      <w:r>
        <w:rPr>
          <w:rFonts w:ascii="宋体" w:hAnsi="宋体" w:eastAsia="宋体"/>
          <w:szCs w:val="21"/>
        </w:rPr>
        <w:t>育人工作也开始逐渐受到重视，</w:t>
      </w:r>
      <w:r>
        <w:rPr>
          <w:rFonts w:hint="eastAsia" w:ascii="宋体" w:hAnsi="宋体" w:eastAsia="宋体"/>
          <w:szCs w:val="21"/>
        </w:rPr>
        <w:t>各</w:t>
      </w:r>
      <w:r>
        <w:rPr>
          <w:rFonts w:ascii="宋体" w:hAnsi="宋体" w:eastAsia="宋体"/>
          <w:szCs w:val="21"/>
        </w:rPr>
        <w:t>高校在家庭经济困难学生认定、</w:t>
      </w:r>
      <w:r>
        <w:rPr>
          <w:rFonts w:hint="eastAsia" w:ascii="宋体" w:hAnsi="宋体" w:eastAsia="宋体"/>
          <w:szCs w:val="21"/>
        </w:rPr>
        <w:t>学业</w:t>
      </w:r>
      <w:r>
        <w:rPr>
          <w:rFonts w:ascii="宋体" w:hAnsi="宋体" w:eastAsia="宋体"/>
          <w:szCs w:val="21"/>
        </w:rPr>
        <w:t>帮扶、心理辅导</w:t>
      </w:r>
      <w:r>
        <w:rPr>
          <w:rFonts w:hint="eastAsia" w:ascii="宋体" w:hAnsi="宋体" w:eastAsia="宋体"/>
          <w:szCs w:val="21"/>
        </w:rPr>
        <w:t>、</w:t>
      </w:r>
      <w:r>
        <w:rPr>
          <w:rFonts w:ascii="宋体" w:hAnsi="宋体" w:eastAsia="宋体"/>
          <w:szCs w:val="21"/>
        </w:rPr>
        <w:t>诚信教育等方面</w:t>
      </w:r>
      <w:r>
        <w:rPr>
          <w:rFonts w:hint="eastAsia" w:ascii="宋体" w:hAnsi="宋体" w:eastAsia="宋体"/>
          <w:szCs w:val="21"/>
        </w:rPr>
        <w:t>进行了</w:t>
      </w:r>
      <w:r>
        <w:rPr>
          <w:rFonts w:ascii="宋体" w:hAnsi="宋体" w:eastAsia="宋体"/>
          <w:szCs w:val="21"/>
        </w:rPr>
        <w:t>许多新的</w:t>
      </w:r>
      <w:r>
        <w:rPr>
          <w:rFonts w:hint="eastAsia" w:ascii="宋体" w:hAnsi="宋体" w:eastAsia="宋体"/>
          <w:szCs w:val="21"/>
        </w:rPr>
        <w:t>尝试</w:t>
      </w:r>
      <w:r>
        <w:rPr>
          <w:rFonts w:ascii="宋体" w:hAnsi="宋体" w:eastAsia="宋体"/>
          <w:szCs w:val="21"/>
        </w:rPr>
        <w:t>，资助育人体系开始逐渐成型。随着“</w:t>
      </w:r>
      <w:r>
        <w:rPr>
          <w:rFonts w:hint="eastAsia" w:ascii="宋体" w:hAnsi="宋体" w:eastAsia="宋体"/>
          <w:szCs w:val="21"/>
        </w:rPr>
        <w:t>十大育人</w:t>
      </w:r>
      <w:r>
        <w:rPr>
          <w:rFonts w:ascii="宋体" w:hAnsi="宋体" w:eastAsia="宋体"/>
          <w:szCs w:val="21"/>
        </w:rPr>
        <w:t>”</w:t>
      </w:r>
      <w:r>
        <w:rPr>
          <w:rFonts w:hint="eastAsia" w:ascii="宋体" w:hAnsi="宋体" w:eastAsia="宋体"/>
          <w:szCs w:val="21"/>
        </w:rPr>
        <w:t>体系</w:t>
      </w:r>
      <w:r>
        <w:rPr>
          <w:rFonts w:ascii="宋体" w:hAnsi="宋体" w:eastAsia="宋体"/>
          <w:szCs w:val="21"/>
        </w:rPr>
        <w:t>的</w:t>
      </w:r>
      <w:r>
        <w:rPr>
          <w:rFonts w:hint="eastAsia" w:ascii="宋体" w:hAnsi="宋体" w:eastAsia="宋体"/>
          <w:szCs w:val="21"/>
        </w:rPr>
        <w:t>推行</w:t>
      </w:r>
      <w:r>
        <w:rPr>
          <w:rFonts w:ascii="宋体" w:hAnsi="宋体" w:eastAsia="宋体"/>
          <w:szCs w:val="21"/>
        </w:rPr>
        <w:t>，</w:t>
      </w:r>
      <w:r>
        <w:rPr>
          <w:rFonts w:hint="eastAsia" w:ascii="宋体" w:hAnsi="宋体" w:eastAsia="宋体"/>
          <w:szCs w:val="21"/>
        </w:rPr>
        <w:t>强调物质帮助、道德浸润、能力拓展、精神激励有效融合的</w:t>
      </w:r>
      <w:r>
        <w:rPr>
          <w:rFonts w:ascii="宋体" w:hAnsi="宋体" w:eastAsia="宋体"/>
          <w:szCs w:val="21"/>
        </w:rPr>
        <w:t>发展</w:t>
      </w:r>
      <w:r>
        <w:rPr>
          <w:rFonts w:hint="eastAsia" w:ascii="宋体" w:hAnsi="宋体" w:eastAsia="宋体"/>
          <w:szCs w:val="21"/>
        </w:rPr>
        <w:t>型资助</w:t>
      </w:r>
      <w:r>
        <w:rPr>
          <w:rFonts w:ascii="宋体" w:hAnsi="宋体" w:eastAsia="宋体"/>
          <w:szCs w:val="21"/>
        </w:rPr>
        <w:t>育人体系</w:t>
      </w:r>
      <w:r>
        <w:rPr>
          <w:rFonts w:hint="eastAsia" w:ascii="宋体" w:hAnsi="宋体" w:eastAsia="宋体"/>
          <w:szCs w:val="21"/>
        </w:rPr>
        <w:t>成为高校</w:t>
      </w:r>
      <w:r>
        <w:rPr>
          <w:rFonts w:ascii="宋体" w:hAnsi="宋体" w:eastAsia="宋体"/>
          <w:szCs w:val="21"/>
        </w:rPr>
        <w:t>资助育人工作发展的新方向。</w:t>
      </w:r>
      <w:r>
        <w:rPr>
          <w:rFonts w:hint="eastAsia" w:ascii="宋体" w:hAnsi="宋体" w:eastAsia="宋体"/>
          <w:szCs w:val="21"/>
        </w:rPr>
        <w:t>从高校资助</w:t>
      </w:r>
      <w:r>
        <w:rPr>
          <w:rFonts w:ascii="宋体" w:hAnsi="宋体" w:eastAsia="宋体"/>
          <w:szCs w:val="21"/>
        </w:rPr>
        <w:t>工作的发展历程来看，</w:t>
      </w:r>
      <w:r>
        <w:rPr>
          <w:rFonts w:hint="eastAsia" w:ascii="宋体" w:hAnsi="宋体" w:eastAsia="宋体"/>
          <w:szCs w:val="21"/>
        </w:rPr>
        <w:t>当前</w:t>
      </w:r>
      <w:r>
        <w:rPr>
          <w:rFonts w:ascii="宋体" w:hAnsi="宋体" w:eastAsia="宋体"/>
          <w:szCs w:val="21"/>
        </w:rPr>
        <w:t>我国的资助育人体系已经初步建立，并且</w:t>
      </w:r>
      <w:r>
        <w:rPr>
          <w:rFonts w:hint="eastAsia" w:ascii="宋体" w:hAnsi="宋体" w:eastAsia="宋体"/>
          <w:szCs w:val="21"/>
        </w:rPr>
        <w:t>正</w:t>
      </w:r>
      <w:r>
        <w:rPr>
          <w:rFonts w:ascii="宋体" w:hAnsi="宋体" w:eastAsia="宋体"/>
          <w:szCs w:val="21"/>
        </w:rPr>
        <w:t>在发挥</w:t>
      </w:r>
      <w:r>
        <w:rPr>
          <w:rFonts w:hint="eastAsia" w:ascii="宋体" w:hAnsi="宋体" w:eastAsia="宋体"/>
          <w:szCs w:val="21"/>
        </w:rPr>
        <w:t>其正向引导</w:t>
      </w:r>
      <w:r>
        <w:rPr>
          <w:rFonts w:ascii="宋体" w:hAnsi="宋体" w:eastAsia="宋体"/>
          <w:szCs w:val="21"/>
        </w:rPr>
        <w:t>作用。</w:t>
      </w:r>
    </w:p>
    <w:p>
      <w:pPr>
        <w:spacing w:line="400" w:lineRule="exact"/>
        <w:ind w:firstLine="422" w:firstLineChars="200"/>
        <w:rPr>
          <w:rFonts w:ascii="宋体" w:hAnsi="宋体" w:eastAsia="宋体"/>
          <w:b/>
          <w:szCs w:val="21"/>
        </w:rPr>
      </w:pPr>
      <w:r>
        <w:rPr>
          <w:rFonts w:hint="eastAsia" w:ascii="宋体" w:hAnsi="宋体" w:eastAsia="宋体"/>
          <w:b/>
          <w:szCs w:val="21"/>
        </w:rPr>
        <w:t>（二）高校</w:t>
      </w:r>
      <w:r>
        <w:rPr>
          <w:rFonts w:ascii="宋体" w:hAnsi="宋体" w:eastAsia="宋体"/>
          <w:b/>
          <w:szCs w:val="21"/>
        </w:rPr>
        <w:t>开展了</w:t>
      </w:r>
      <w:r>
        <w:rPr>
          <w:rFonts w:hint="eastAsia" w:ascii="宋体" w:hAnsi="宋体" w:eastAsia="宋体"/>
          <w:b/>
          <w:color w:val="000000" w:themeColor="text1"/>
          <w:szCs w:val="21"/>
          <w14:textFill>
            <w14:solidFill>
              <w14:schemeClr w14:val="tx1"/>
            </w14:solidFill>
          </w14:textFill>
        </w:rPr>
        <w:t>各具</w:t>
      </w:r>
      <w:r>
        <w:rPr>
          <w:rFonts w:ascii="宋体" w:hAnsi="宋体" w:eastAsia="宋体"/>
          <w:b/>
          <w:color w:val="000000" w:themeColor="text1"/>
          <w:szCs w:val="21"/>
          <w14:textFill>
            <w14:solidFill>
              <w14:schemeClr w14:val="tx1"/>
            </w14:solidFill>
          </w14:textFill>
        </w:rPr>
        <w:t>特色</w:t>
      </w:r>
      <w:r>
        <w:rPr>
          <w:rFonts w:ascii="宋体" w:hAnsi="宋体" w:eastAsia="宋体"/>
          <w:b/>
          <w:szCs w:val="21"/>
        </w:rPr>
        <w:t>的资助育人</w:t>
      </w:r>
      <w:r>
        <w:rPr>
          <w:rFonts w:hint="eastAsia" w:ascii="宋体" w:hAnsi="宋体" w:eastAsia="宋体"/>
          <w:b/>
          <w:szCs w:val="21"/>
        </w:rPr>
        <w:t>活动</w:t>
      </w:r>
    </w:p>
    <w:p>
      <w:pPr>
        <w:spacing w:line="400" w:lineRule="exact"/>
        <w:ind w:firstLine="420" w:firstLineChars="200"/>
        <w:rPr>
          <w:rFonts w:ascii="宋体" w:hAnsi="宋体" w:eastAsia="宋体"/>
          <w:szCs w:val="21"/>
        </w:rPr>
      </w:pPr>
      <w:r>
        <w:rPr>
          <w:rFonts w:hint="eastAsia" w:ascii="宋体" w:hAnsi="宋体" w:eastAsia="宋体"/>
          <w:szCs w:val="21"/>
        </w:rPr>
        <w:t>从资助育人</w:t>
      </w:r>
      <w:r>
        <w:rPr>
          <w:rFonts w:ascii="宋体" w:hAnsi="宋体" w:eastAsia="宋体"/>
          <w:szCs w:val="21"/>
        </w:rPr>
        <w:t>实施情况来看，</w:t>
      </w:r>
      <w:r>
        <w:rPr>
          <w:rFonts w:hint="eastAsia" w:ascii="宋体" w:hAnsi="宋体" w:eastAsia="宋体"/>
          <w:szCs w:val="21"/>
        </w:rPr>
        <w:t>高校</w:t>
      </w:r>
      <w:r>
        <w:rPr>
          <w:rFonts w:ascii="宋体" w:hAnsi="宋体" w:eastAsia="宋体"/>
          <w:szCs w:val="21"/>
        </w:rPr>
        <w:t>仍旧是组织和开展</w:t>
      </w:r>
      <w:r>
        <w:rPr>
          <w:rFonts w:hint="eastAsia" w:ascii="宋体" w:hAnsi="宋体" w:eastAsia="宋体"/>
          <w:szCs w:val="21"/>
        </w:rPr>
        <w:t>资助</w:t>
      </w:r>
      <w:r>
        <w:rPr>
          <w:rFonts w:ascii="宋体" w:hAnsi="宋体" w:eastAsia="宋体"/>
          <w:szCs w:val="21"/>
        </w:rPr>
        <w:t>育人</w:t>
      </w:r>
      <w:r>
        <w:rPr>
          <w:rFonts w:hint="eastAsia" w:ascii="宋体" w:hAnsi="宋体" w:eastAsia="宋体"/>
          <w:szCs w:val="21"/>
        </w:rPr>
        <w:t>活动</w:t>
      </w:r>
      <w:r>
        <w:rPr>
          <w:rFonts w:ascii="宋体" w:hAnsi="宋体" w:eastAsia="宋体"/>
          <w:szCs w:val="21"/>
        </w:rPr>
        <w:t>的主体。随着</w:t>
      </w:r>
      <w:r>
        <w:rPr>
          <w:rFonts w:hint="eastAsia" w:ascii="宋体" w:hAnsi="宋体" w:eastAsia="宋体"/>
          <w:szCs w:val="21"/>
        </w:rPr>
        <w:t>各类政策</w:t>
      </w:r>
      <w:r>
        <w:rPr>
          <w:rFonts w:ascii="宋体" w:hAnsi="宋体" w:eastAsia="宋体"/>
          <w:szCs w:val="21"/>
        </w:rPr>
        <w:t>文件的出台</w:t>
      </w:r>
      <w:r>
        <w:rPr>
          <w:rFonts w:hint="eastAsia" w:ascii="宋体" w:hAnsi="宋体" w:eastAsia="宋体"/>
          <w:szCs w:val="21"/>
        </w:rPr>
        <w:t>和</w:t>
      </w:r>
      <w:r>
        <w:rPr>
          <w:rFonts w:ascii="宋体" w:hAnsi="宋体" w:eastAsia="宋体"/>
          <w:szCs w:val="21"/>
        </w:rPr>
        <w:t>资助育人体系的逐步完善，高校</w:t>
      </w:r>
      <w:r>
        <w:rPr>
          <w:rFonts w:hint="eastAsia" w:ascii="宋体" w:hAnsi="宋体" w:eastAsia="宋体"/>
          <w:szCs w:val="21"/>
        </w:rPr>
        <w:t>对开展</w:t>
      </w:r>
      <w:r>
        <w:rPr>
          <w:rFonts w:ascii="宋体" w:hAnsi="宋体" w:eastAsia="宋体"/>
          <w:szCs w:val="21"/>
        </w:rPr>
        <w:t>资助育人工作</w:t>
      </w:r>
      <w:r>
        <w:rPr>
          <w:rFonts w:hint="eastAsia" w:ascii="宋体" w:hAnsi="宋体" w:eastAsia="宋体"/>
          <w:szCs w:val="21"/>
        </w:rPr>
        <w:t>的重要性有了</w:t>
      </w:r>
      <w:r>
        <w:rPr>
          <w:rFonts w:ascii="宋体" w:hAnsi="宋体" w:eastAsia="宋体"/>
          <w:szCs w:val="21"/>
        </w:rPr>
        <w:t>更深层次的认识，许多高校结合自身特点开展了</w:t>
      </w:r>
      <w:r>
        <w:rPr>
          <w:rFonts w:hint="eastAsia" w:ascii="宋体" w:hAnsi="宋体" w:eastAsia="宋体"/>
          <w:szCs w:val="21"/>
        </w:rPr>
        <w:t>各具特色</w:t>
      </w:r>
      <w:r>
        <w:rPr>
          <w:rFonts w:ascii="宋体" w:hAnsi="宋体" w:eastAsia="宋体"/>
          <w:szCs w:val="21"/>
        </w:rPr>
        <w:t>的育人活动，取得了良好的效果。</w:t>
      </w:r>
      <w:r>
        <w:rPr>
          <w:rFonts w:hint="eastAsia" w:ascii="宋体" w:hAnsi="宋体" w:eastAsia="宋体"/>
          <w:szCs w:val="21"/>
        </w:rPr>
        <w:t>北京大学</w:t>
      </w:r>
      <w:r>
        <w:rPr>
          <w:rFonts w:ascii="宋体" w:hAnsi="宋体" w:eastAsia="宋体"/>
          <w:szCs w:val="21"/>
        </w:rPr>
        <w:t>一直是高校</w:t>
      </w:r>
      <w:r>
        <w:rPr>
          <w:rFonts w:hint="eastAsia" w:ascii="宋体" w:hAnsi="宋体" w:eastAsia="宋体"/>
          <w:szCs w:val="21"/>
        </w:rPr>
        <w:t>开展</w:t>
      </w:r>
      <w:r>
        <w:rPr>
          <w:rFonts w:ascii="宋体" w:hAnsi="宋体" w:eastAsia="宋体"/>
          <w:szCs w:val="21"/>
        </w:rPr>
        <w:t>资助工作的典型</w:t>
      </w:r>
      <w:r>
        <w:rPr>
          <w:rFonts w:hint="eastAsia" w:ascii="宋体" w:hAnsi="宋体" w:eastAsia="宋体"/>
          <w:szCs w:val="21"/>
        </w:rPr>
        <w:t>，也是</w:t>
      </w:r>
      <w:r>
        <w:rPr>
          <w:rFonts w:ascii="宋体" w:hAnsi="宋体" w:eastAsia="宋体"/>
          <w:szCs w:val="21"/>
        </w:rPr>
        <w:t>最早</w:t>
      </w:r>
      <w:r>
        <w:rPr>
          <w:rFonts w:hint="eastAsia" w:ascii="宋体" w:hAnsi="宋体" w:eastAsia="宋体"/>
          <w:szCs w:val="21"/>
        </w:rPr>
        <w:t>一批</w:t>
      </w:r>
      <w:r>
        <w:rPr>
          <w:rFonts w:ascii="宋体" w:hAnsi="宋体" w:eastAsia="宋体"/>
          <w:color w:val="000000" w:themeColor="text1"/>
          <w:szCs w:val="21"/>
          <w14:textFill>
            <w14:solidFill>
              <w14:schemeClr w14:val="tx1"/>
            </w14:solidFill>
          </w14:textFill>
        </w:rPr>
        <w:t>成立</w:t>
      </w:r>
      <w:r>
        <w:rPr>
          <w:rFonts w:hint="eastAsia" w:ascii="宋体" w:hAnsi="宋体" w:eastAsia="宋体"/>
          <w:color w:val="000000" w:themeColor="text1"/>
          <w:szCs w:val="21"/>
          <w14:textFill>
            <w14:solidFill>
              <w14:schemeClr w14:val="tx1"/>
            </w14:solidFill>
          </w14:textFill>
        </w:rPr>
        <w:t>学生</w:t>
      </w:r>
      <w:r>
        <w:rPr>
          <w:rFonts w:ascii="宋体" w:hAnsi="宋体" w:eastAsia="宋体"/>
          <w:color w:val="000000" w:themeColor="text1"/>
          <w:szCs w:val="21"/>
          <w14:textFill>
            <w14:solidFill>
              <w14:schemeClr w14:val="tx1"/>
            </w14:solidFill>
          </w14:textFill>
        </w:rPr>
        <w:t>资助中心</w:t>
      </w:r>
      <w:r>
        <w:rPr>
          <w:rFonts w:ascii="宋体" w:hAnsi="宋体" w:eastAsia="宋体"/>
          <w:szCs w:val="21"/>
        </w:rPr>
        <w:t>的高校之一。</w:t>
      </w:r>
      <w:r>
        <w:rPr>
          <w:rFonts w:hint="eastAsia" w:ascii="宋体" w:hAnsi="宋体" w:eastAsia="宋体"/>
          <w:szCs w:val="21"/>
        </w:rPr>
        <w:t>经过十多年</w:t>
      </w:r>
      <w:r>
        <w:rPr>
          <w:rFonts w:ascii="宋体" w:hAnsi="宋体" w:eastAsia="宋体"/>
          <w:szCs w:val="21"/>
        </w:rPr>
        <w:t>的探索</w:t>
      </w:r>
      <w:r>
        <w:rPr>
          <w:rFonts w:hint="eastAsia" w:ascii="宋体" w:hAnsi="宋体" w:eastAsia="宋体"/>
          <w:szCs w:val="21"/>
        </w:rPr>
        <w:t>，</w:t>
      </w:r>
      <w:r>
        <w:rPr>
          <w:rFonts w:ascii="宋体" w:hAnsi="宋体" w:eastAsia="宋体"/>
          <w:szCs w:val="21"/>
        </w:rPr>
        <w:t>北京大学已经</w:t>
      </w:r>
      <w:r>
        <w:rPr>
          <w:rFonts w:hint="eastAsia" w:ascii="宋体" w:hAnsi="宋体" w:eastAsia="宋体"/>
          <w:szCs w:val="21"/>
        </w:rPr>
        <w:t>确立</w:t>
      </w:r>
      <w:r>
        <w:rPr>
          <w:rFonts w:ascii="宋体" w:hAnsi="宋体" w:eastAsia="宋体"/>
          <w:szCs w:val="21"/>
        </w:rPr>
        <w:t>包括</w:t>
      </w:r>
      <w:r>
        <w:rPr>
          <w:rFonts w:hint="eastAsia" w:ascii="宋体" w:hAnsi="宋体" w:eastAsia="宋体"/>
          <w:szCs w:val="21"/>
        </w:rPr>
        <w:t>燕园领航</w:t>
      </w:r>
      <w:r>
        <w:rPr>
          <w:rFonts w:ascii="宋体" w:hAnsi="宋体" w:eastAsia="宋体"/>
          <w:szCs w:val="21"/>
        </w:rPr>
        <w:t>、</w:t>
      </w:r>
      <w:r>
        <w:rPr>
          <w:rFonts w:hint="eastAsia" w:ascii="宋体" w:hAnsi="宋体" w:eastAsia="宋体"/>
          <w:szCs w:val="21"/>
        </w:rPr>
        <w:t>青年</w:t>
      </w:r>
      <w:r>
        <w:rPr>
          <w:rFonts w:ascii="宋体" w:hAnsi="宋体" w:eastAsia="宋体"/>
          <w:szCs w:val="21"/>
        </w:rPr>
        <w:t>领袖</w:t>
      </w:r>
      <w:r>
        <w:rPr>
          <w:rFonts w:hint="eastAsia" w:ascii="宋体" w:hAnsi="宋体" w:eastAsia="宋体"/>
          <w:szCs w:val="21"/>
        </w:rPr>
        <w:t>计划</w:t>
      </w:r>
      <w:r>
        <w:rPr>
          <w:rFonts w:ascii="宋体" w:hAnsi="宋体" w:eastAsia="宋体"/>
          <w:szCs w:val="21"/>
        </w:rPr>
        <w:t>、</w:t>
      </w:r>
      <w:r>
        <w:rPr>
          <w:rFonts w:hint="eastAsia" w:ascii="宋体" w:hAnsi="宋体" w:eastAsia="宋体"/>
          <w:szCs w:val="21"/>
        </w:rPr>
        <w:t>优才拓展</w:t>
      </w:r>
      <w:r>
        <w:rPr>
          <w:rFonts w:ascii="宋体" w:hAnsi="宋体" w:eastAsia="宋体"/>
          <w:szCs w:val="21"/>
        </w:rPr>
        <w:t>、</w:t>
      </w:r>
      <w:r>
        <w:rPr>
          <w:rFonts w:hint="eastAsia" w:ascii="宋体" w:hAnsi="宋体" w:eastAsia="宋体"/>
          <w:szCs w:val="21"/>
        </w:rPr>
        <w:t>公益之星</w:t>
      </w:r>
      <w:r>
        <w:rPr>
          <w:rFonts w:ascii="宋体" w:hAnsi="宋体" w:eastAsia="宋体"/>
          <w:szCs w:val="21"/>
        </w:rPr>
        <w:t>评选等在内的多元资助育人模式，</w:t>
      </w:r>
      <w:r>
        <w:rPr>
          <w:rFonts w:hint="eastAsia" w:ascii="宋体" w:hAnsi="宋体" w:eastAsia="宋体"/>
          <w:szCs w:val="21"/>
        </w:rPr>
        <w:t>实现</w:t>
      </w:r>
      <w:r>
        <w:rPr>
          <w:rFonts w:ascii="宋体" w:hAnsi="宋体" w:eastAsia="宋体"/>
          <w:szCs w:val="21"/>
        </w:rPr>
        <w:t>了对家庭经济困难学生</w:t>
      </w:r>
      <w:r>
        <w:rPr>
          <w:rFonts w:hint="eastAsia" w:ascii="宋体" w:hAnsi="宋体" w:eastAsia="宋体"/>
          <w:szCs w:val="21"/>
        </w:rPr>
        <w:t>精神关爱</w:t>
      </w:r>
      <w:r>
        <w:rPr>
          <w:rFonts w:ascii="宋体" w:hAnsi="宋体" w:eastAsia="宋体"/>
          <w:szCs w:val="21"/>
        </w:rPr>
        <w:t>和</w:t>
      </w:r>
      <w:r>
        <w:rPr>
          <w:rFonts w:hint="eastAsia" w:ascii="宋体" w:hAnsi="宋体" w:eastAsia="宋体"/>
          <w:szCs w:val="21"/>
        </w:rPr>
        <w:t>能力</w:t>
      </w:r>
      <w:r>
        <w:rPr>
          <w:rFonts w:ascii="宋体" w:hAnsi="宋体" w:eastAsia="宋体"/>
          <w:szCs w:val="21"/>
        </w:rPr>
        <w:t>帮扶的有效融合。</w:t>
      </w:r>
      <w:r>
        <w:rPr>
          <w:rFonts w:hint="eastAsia" w:ascii="宋体" w:hAnsi="宋体" w:eastAsia="宋体"/>
          <w:szCs w:val="21"/>
        </w:rPr>
        <w:t>吉林</w:t>
      </w:r>
      <w:r>
        <w:rPr>
          <w:rFonts w:ascii="宋体" w:hAnsi="宋体" w:eastAsia="宋体"/>
          <w:szCs w:val="21"/>
        </w:rPr>
        <w:t>大学</w:t>
      </w:r>
      <w:r>
        <w:rPr>
          <w:rFonts w:hint="eastAsia" w:ascii="宋体" w:hAnsi="宋体" w:eastAsia="宋体"/>
          <w:szCs w:val="21"/>
        </w:rPr>
        <w:t>将</w:t>
      </w:r>
      <w:r>
        <w:rPr>
          <w:rFonts w:ascii="宋体" w:hAnsi="宋体" w:eastAsia="宋体"/>
          <w:szCs w:val="21"/>
        </w:rPr>
        <w:t>资助育人工作放在</w:t>
      </w:r>
      <w:r>
        <w:rPr>
          <w:rFonts w:hint="eastAsia" w:ascii="宋体" w:hAnsi="宋体" w:eastAsia="宋体"/>
          <w:szCs w:val="21"/>
        </w:rPr>
        <w:t>保障</w:t>
      </w:r>
      <w:r>
        <w:rPr>
          <w:rFonts w:ascii="宋体" w:hAnsi="宋体" w:eastAsia="宋体"/>
          <w:szCs w:val="21"/>
        </w:rPr>
        <w:t>和改善民生的大格局中统筹</w:t>
      </w:r>
      <w:r>
        <w:rPr>
          <w:rFonts w:hint="eastAsia" w:ascii="宋体" w:hAnsi="宋体" w:eastAsia="宋体"/>
          <w:szCs w:val="21"/>
        </w:rPr>
        <w:t>推进</w:t>
      </w:r>
      <w:r>
        <w:rPr>
          <w:rFonts w:ascii="宋体" w:hAnsi="宋体" w:eastAsia="宋体"/>
          <w:szCs w:val="21"/>
        </w:rPr>
        <w:t>，</w:t>
      </w:r>
      <w:r>
        <w:rPr>
          <w:rFonts w:hint="eastAsia" w:ascii="宋体" w:hAnsi="宋体" w:eastAsia="宋体"/>
          <w:szCs w:val="21"/>
        </w:rPr>
        <w:t>利用</w:t>
      </w:r>
      <w:r>
        <w:rPr>
          <w:rFonts w:ascii="宋体" w:hAnsi="宋体" w:eastAsia="宋体"/>
          <w:szCs w:val="21"/>
        </w:rPr>
        <w:t>大数据手段建立了家庭经济困难学生认定的</w:t>
      </w:r>
      <w:r>
        <w:rPr>
          <w:rFonts w:hint="eastAsia" w:ascii="宋体" w:hAnsi="宋体" w:eastAsia="宋体"/>
          <w:szCs w:val="21"/>
        </w:rPr>
        <w:t>“量化测评”模型</w:t>
      </w:r>
      <w:r>
        <w:rPr>
          <w:rFonts w:ascii="宋体" w:hAnsi="宋体" w:eastAsia="宋体"/>
          <w:szCs w:val="21"/>
        </w:rPr>
        <w:t>，</w:t>
      </w:r>
      <w:r>
        <w:rPr>
          <w:rFonts w:hint="eastAsia" w:ascii="宋体" w:hAnsi="宋体" w:eastAsia="宋体"/>
          <w:szCs w:val="21"/>
        </w:rPr>
        <w:t>通过</w:t>
      </w:r>
      <w:r>
        <w:rPr>
          <w:rFonts w:ascii="宋体" w:hAnsi="宋体" w:eastAsia="宋体"/>
          <w:szCs w:val="21"/>
        </w:rPr>
        <w:t>“</w:t>
      </w:r>
      <w:r>
        <w:rPr>
          <w:rFonts w:hint="eastAsia" w:ascii="宋体" w:hAnsi="宋体" w:eastAsia="宋体"/>
          <w:szCs w:val="21"/>
        </w:rPr>
        <w:t>造血型</w:t>
      </w:r>
      <w:r>
        <w:rPr>
          <w:rFonts w:ascii="宋体" w:hAnsi="宋体" w:eastAsia="宋体"/>
          <w:szCs w:val="21"/>
        </w:rPr>
        <w:t>”</w:t>
      </w:r>
      <w:r>
        <w:rPr>
          <w:rFonts w:hint="eastAsia" w:ascii="宋体" w:hAnsi="宋体" w:eastAsia="宋体"/>
          <w:szCs w:val="21"/>
        </w:rPr>
        <w:t>资助</w:t>
      </w:r>
      <w:r>
        <w:rPr>
          <w:rFonts w:ascii="宋体" w:hAnsi="宋体" w:eastAsia="宋体"/>
          <w:szCs w:val="21"/>
        </w:rPr>
        <w:t>项目为受助学生提供</w:t>
      </w:r>
      <w:r>
        <w:rPr>
          <w:rFonts w:hint="eastAsia" w:ascii="宋体" w:hAnsi="宋体" w:eastAsia="宋体"/>
          <w:szCs w:val="21"/>
        </w:rPr>
        <w:t>锻炼</w:t>
      </w:r>
      <w:r>
        <w:rPr>
          <w:rFonts w:ascii="宋体" w:hAnsi="宋体" w:eastAsia="宋体"/>
          <w:szCs w:val="21"/>
        </w:rPr>
        <w:t>平台，</w:t>
      </w:r>
      <w:r>
        <w:rPr>
          <w:rFonts w:hint="eastAsia" w:ascii="宋体" w:hAnsi="宋体" w:eastAsia="宋体"/>
          <w:szCs w:val="21"/>
        </w:rPr>
        <w:t>实施</w:t>
      </w:r>
      <w:r>
        <w:rPr>
          <w:rFonts w:ascii="宋体" w:hAnsi="宋体" w:eastAsia="宋体"/>
          <w:szCs w:val="21"/>
        </w:rPr>
        <w:t>“</w:t>
      </w:r>
      <w:r>
        <w:rPr>
          <w:rFonts w:hint="eastAsia" w:ascii="宋体" w:hAnsi="宋体" w:eastAsia="宋体"/>
          <w:szCs w:val="21"/>
        </w:rPr>
        <w:t>十个一</w:t>
      </w:r>
      <w:r>
        <w:rPr>
          <w:rFonts w:ascii="宋体" w:hAnsi="宋体" w:eastAsia="宋体"/>
          <w:szCs w:val="21"/>
        </w:rPr>
        <w:t>爱心</w:t>
      </w:r>
      <w:r>
        <w:rPr>
          <w:rFonts w:hint="eastAsia" w:ascii="宋体" w:hAnsi="宋体" w:eastAsia="宋体"/>
          <w:szCs w:val="21"/>
        </w:rPr>
        <w:t>工程</w:t>
      </w:r>
      <w:r>
        <w:rPr>
          <w:rFonts w:ascii="宋体" w:hAnsi="宋体" w:eastAsia="宋体"/>
          <w:szCs w:val="21"/>
        </w:rPr>
        <w:t>”</w:t>
      </w:r>
      <w:r>
        <w:rPr>
          <w:rFonts w:hint="eastAsia" w:ascii="宋体" w:hAnsi="宋体" w:eastAsia="宋体"/>
          <w:szCs w:val="21"/>
        </w:rPr>
        <w:t>给</w:t>
      </w:r>
      <w:r>
        <w:rPr>
          <w:rFonts w:ascii="宋体" w:hAnsi="宋体" w:eastAsia="宋体"/>
          <w:szCs w:val="21"/>
        </w:rPr>
        <w:t>受助学生送去</w:t>
      </w:r>
      <w:r>
        <w:rPr>
          <w:rFonts w:hint="eastAsia" w:ascii="宋体" w:hAnsi="宋体" w:eastAsia="宋体"/>
          <w:szCs w:val="21"/>
        </w:rPr>
        <w:t>心灵关怀。近年来</w:t>
      </w:r>
      <w:r>
        <w:rPr>
          <w:rFonts w:ascii="宋体" w:hAnsi="宋体" w:eastAsia="宋体"/>
          <w:szCs w:val="21"/>
        </w:rPr>
        <w:t>，</w:t>
      </w:r>
      <w:r>
        <w:rPr>
          <w:rFonts w:hint="eastAsia" w:ascii="宋体" w:hAnsi="宋体" w:eastAsia="宋体"/>
          <w:szCs w:val="21"/>
        </w:rPr>
        <w:t>中国</w:t>
      </w:r>
      <w:r>
        <w:rPr>
          <w:rFonts w:ascii="宋体" w:hAnsi="宋体" w:eastAsia="宋体"/>
          <w:szCs w:val="21"/>
        </w:rPr>
        <w:t>矿业大学</w:t>
      </w:r>
      <w:r>
        <w:rPr>
          <w:rFonts w:hint="eastAsia" w:ascii="宋体" w:hAnsi="宋体" w:eastAsia="宋体"/>
          <w:szCs w:val="21"/>
        </w:rPr>
        <w:t>在</w:t>
      </w:r>
      <w:r>
        <w:rPr>
          <w:rFonts w:ascii="宋体" w:hAnsi="宋体" w:eastAsia="宋体"/>
          <w:szCs w:val="21"/>
        </w:rPr>
        <w:t>全国高校资助</w:t>
      </w:r>
      <w:r>
        <w:rPr>
          <w:rFonts w:hint="eastAsia" w:ascii="宋体" w:hAnsi="宋体" w:eastAsia="宋体"/>
          <w:szCs w:val="21"/>
        </w:rPr>
        <w:t>工作中也</w:t>
      </w:r>
      <w:r>
        <w:rPr>
          <w:rFonts w:ascii="宋体" w:hAnsi="宋体" w:eastAsia="宋体"/>
          <w:szCs w:val="21"/>
        </w:rPr>
        <w:t>取得了较为优异的成绩，学校在资助育人方面进行了</w:t>
      </w:r>
      <w:r>
        <w:rPr>
          <w:rFonts w:hint="eastAsia" w:ascii="宋体" w:hAnsi="宋体" w:eastAsia="宋体"/>
          <w:szCs w:val="21"/>
        </w:rPr>
        <w:t>多方尝试：在家庭经济</w:t>
      </w:r>
      <w:r>
        <w:rPr>
          <w:rFonts w:ascii="宋体" w:hAnsi="宋体" w:eastAsia="宋体"/>
          <w:szCs w:val="21"/>
        </w:rPr>
        <w:t>困难学生认定时强调保护学生隐私，体现人文关怀</w:t>
      </w:r>
      <w:r>
        <w:rPr>
          <w:rFonts w:hint="eastAsia" w:ascii="宋体" w:hAnsi="宋体" w:eastAsia="宋体"/>
          <w:szCs w:val="21"/>
        </w:rPr>
        <w:t>；</w:t>
      </w:r>
      <w:r>
        <w:rPr>
          <w:rFonts w:ascii="宋体" w:hAnsi="宋体" w:eastAsia="宋体"/>
          <w:szCs w:val="21"/>
        </w:rPr>
        <w:t>资助工作人员利用暑假开展“</w:t>
      </w:r>
      <w:r>
        <w:rPr>
          <w:rFonts w:hint="eastAsia" w:ascii="宋体" w:hAnsi="宋体" w:eastAsia="宋体"/>
          <w:szCs w:val="21"/>
        </w:rPr>
        <w:t>溪水行动</w:t>
      </w:r>
      <w:r>
        <w:rPr>
          <w:rFonts w:ascii="宋体" w:hAnsi="宋体" w:eastAsia="宋体"/>
          <w:szCs w:val="21"/>
        </w:rPr>
        <w:t>”</w:t>
      </w:r>
      <w:r>
        <w:rPr>
          <w:rFonts w:hint="eastAsia" w:ascii="宋体" w:hAnsi="宋体" w:eastAsia="宋体"/>
          <w:szCs w:val="21"/>
        </w:rPr>
        <w:t>，</w:t>
      </w:r>
      <w:r>
        <w:rPr>
          <w:rFonts w:ascii="宋体" w:hAnsi="宋体" w:eastAsia="宋体"/>
          <w:szCs w:val="21"/>
        </w:rPr>
        <w:t>走访受助学生家庭，宣讲资助政策；开展校园明星报告会和“</w:t>
      </w:r>
      <w:r>
        <w:rPr>
          <w:rFonts w:hint="eastAsia" w:ascii="宋体" w:hAnsi="宋体" w:eastAsia="宋体"/>
          <w:szCs w:val="21"/>
        </w:rPr>
        <w:t>青春矿大</w:t>
      </w:r>
      <w:r>
        <w:rPr>
          <w:rFonts w:ascii="宋体" w:hAnsi="宋体" w:eastAsia="宋体"/>
          <w:szCs w:val="21"/>
        </w:rPr>
        <w:t>”</w:t>
      </w:r>
      <w:r>
        <w:rPr>
          <w:rFonts w:hint="eastAsia" w:ascii="宋体" w:hAnsi="宋体" w:eastAsia="宋体"/>
          <w:szCs w:val="21"/>
        </w:rPr>
        <w:t>年度</w:t>
      </w:r>
      <w:r>
        <w:rPr>
          <w:rFonts w:ascii="宋体" w:hAnsi="宋体" w:eastAsia="宋体"/>
          <w:szCs w:val="21"/>
        </w:rPr>
        <w:t>人物评选，正向报道受助学生典型</w:t>
      </w:r>
      <w:r>
        <w:rPr>
          <w:rFonts w:hint="eastAsia" w:ascii="宋体" w:hAnsi="宋体" w:eastAsia="宋体"/>
          <w:szCs w:val="21"/>
        </w:rPr>
        <w:t>，</w:t>
      </w:r>
      <w:r>
        <w:rPr>
          <w:rFonts w:ascii="宋体" w:hAnsi="宋体" w:eastAsia="宋体"/>
          <w:szCs w:val="21"/>
        </w:rPr>
        <w:t>树立学习榜样。</w:t>
      </w:r>
    </w:p>
    <w:p>
      <w:pPr>
        <w:spacing w:line="400" w:lineRule="exact"/>
        <w:ind w:firstLine="422" w:firstLineChars="200"/>
        <w:rPr>
          <w:rFonts w:ascii="宋体" w:hAnsi="宋体" w:eastAsia="宋体"/>
          <w:b/>
          <w:szCs w:val="21"/>
        </w:rPr>
      </w:pPr>
      <w:r>
        <w:rPr>
          <w:rFonts w:hint="eastAsia" w:ascii="宋体" w:hAnsi="宋体" w:eastAsia="宋体"/>
          <w:b/>
          <w:szCs w:val="21"/>
        </w:rPr>
        <w:t>（三）资助</w:t>
      </w:r>
      <w:r>
        <w:rPr>
          <w:rFonts w:ascii="宋体" w:hAnsi="宋体" w:eastAsia="宋体"/>
          <w:b/>
          <w:szCs w:val="21"/>
        </w:rPr>
        <w:t>工作的育人功能尚未充分发挥</w:t>
      </w:r>
    </w:p>
    <w:p>
      <w:pPr>
        <w:spacing w:line="400" w:lineRule="exact"/>
        <w:ind w:firstLine="420" w:firstLineChars="200"/>
        <w:rPr>
          <w:rFonts w:ascii="宋体" w:hAnsi="宋体" w:eastAsia="宋体"/>
          <w:szCs w:val="21"/>
        </w:rPr>
      </w:pPr>
      <w:r>
        <w:rPr>
          <w:rFonts w:hint="eastAsia" w:ascii="宋体" w:hAnsi="宋体" w:eastAsia="宋体"/>
          <w:szCs w:val="21"/>
        </w:rPr>
        <w:t>经济帮扶是资助工作的基础和前提，解决受助学生的经济问题是高校资助工作的首要任务</w:t>
      </w: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然而</w:t>
      </w:r>
      <w:r>
        <w:rPr>
          <w:rFonts w:hint="eastAsia" w:ascii="宋体" w:hAnsi="宋体" w:eastAsia="宋体"/>
          <w:szCs w:val="21"/>
        </w:rPr>
        <w:t>，实现受助学生在知识层面、道德层面、心理层面、精神层面的全面发展才是资助育人的最终目的。由于受到传统的“重资助轻育人”工作模式的限制，以及资助育人师资队伍力量薄弱、投入不足的影响，现行的高校资助体系中，在关注学生精神成长方面严重不足，忽略对学生价值体系、思维方式、知识结构等综合能力的培养提升，资助育人的发展功能尚未充分体现。</w:t>
      </w:r>
      <w:r>
        <w:rPr>
          <w:rFonts w:ascii="宋体" w:hAnsi="宋体" w:eastAsia="宋体"/>
          <w:szCs w:val="21"/>
        </w:rPr>
        <w:t>此外，当前高校资助育人是由学校负责开展，学校是</w:t>
      </w:r>
      <w:r>
        <w:rPr>
          <w:rFonts w:hint="eastAsia" w:ascii="宋体" w:hAnsi="宋体" w:eastAsia="宋体"/>
          <w:szCs w:val="21"/>
        </w:rPr>
        <w:t>资助育人工作开展的绝对权威，教育以灌输式、普及式为主，没有关注学生的个性需要，忽略学生的主体地位。此外</w:t>
      </w:r>
      <w:r>
        <w:rPr>
          <w:rFonts w:ascii="宋体" w:hAnsi="宋体" w:eastAsia="宋体"/>
          <w:szCs w:val="21"/>
        </w:rPr>
        <w:t>，</w:t>
      </w:r>
      <w:r>
        <w:rPr>
          <w:rFonts w:hint="eastAsia" w:ascii="宋体" w:hAnsi="宋体" w:eastAsia="宋体"/>
          <w:szCs w:val="21"/>
        </w:rPr>
        <w:t>育人</w:t>
      </w:r>
      <w:r>
        <w:rPr>
          <w:rFonts w:ascii="宋体" w:hAnsi="宋体" w:eastAsia="宋体"/>
          <w:szCs w:val="21"/>
        </w:rPr>
        <w:t>模式</w:t>
      </w:r>
      <w:r>
        <w:rPr>
          <w:rFonts w:hint="eastAsia" w:ascii="宋体" w:hAnsi="宋体" w:eastAsia="宋体"/>
          <w:szCs w:val="21"/>
        </w:rPr>
        <w:t>单一</w:t>
      </w:r>
      <w:r>
        <w:rPr>
          <w:rFonts w:ascii="宋体" w:hAnsi="宋体" w:eastAsia="宋体"/>
          <w:szCs w:val="21"/>
        </w:rPr>
        <w:t>也是影响资助育人功能</w:t>
      </w:r>
      <w:r>
        <w:rPr>
          <w:rFonts w:hint="eastAsia" w:ascii="宋体" w:hAnsi="宋体" w:eastAsia="宋体"/>
          <w:szCs w:val="21"/>
        </w:rPr>
        <w:t>发挥的</w:t>
      </w:r>
      <w:r>
        <w:rPr>
          <w:rFonts w:ascii="宋体" w:hAnsi="宋体" w:eastAsia="宋体"/>
          <w:szCs w:val="21"/>
        </w:rPr>
        <w:t>另一因素。</w:t>
      </w:r>
      <w:r>
        <w:rPr>
          <w:rFonts w:hint="eastAsia" w:ascii="宋体" w:hAnsi="宋体" w:eastAsia="宋体"/>
          <w:szCs w:val="21"/>
        </w:rPr>
        <w:t>资助育人是做学生的思想工作，通过一定的模式，借助一定的载体，帮助学生树立正确的世界观、人生观和价值观，实现物质帮扶和精神帮扶相统一。当前，</w:t>
      </w:r>
      <w:r>
        <w:rPr>
          <w:rFonts w:ascii="宋体" w:hAnsi="宋体" w:eastAsia="宋体"/>
          <w:szCs w:val="21"/>
        </w:rPr>
        <w:t>资助育人活动主要</w:t>
      </w:r>
      <w:r>
        <w:rPr>
          <w:rFonts w:hint="eastAsia" w:ascii="宋体" w:hAnsi="宋体" w:eastAsia="宋体"/>
          <w:szCs w:val="21"/>
        </w:rPr>
        <w:t>通过开展征文比赛、励志讲座、榜样学习等主题教育的方式来培养受助学生的感恩意识、成才意识。然而，随着“</w:t>
      </w:r>
      <w:r>
        <w:rPr>
          <w:rFonts w:ascii="宋体" w:hAnsi="宋体" w:eastAsia="宋体"/>
          <w:szCs w:val="21"/>
        </w:rPr>
        <w:t>95后”“00后”大学生进入校园，受资助学生的思想特点发生很大变化，一成不变的模式对他们来讲已经失去吸引力，参与其中也只是为了完成学校</w:t>
      </w:r>
      <w:r>
        <w:rPr>
          <w:rFonts w:hint="eastAsia" w:ascii="宋体" w:hAnsi="宋体" w:eastAsia="宋体"/>
          <w:szCs w:val="21"/>
        </w:rPr>
        <w:t>布置</w:t>
      </w:r>
      <w:r>
        <w:rPr>
          <w:rFonts w:ascii="宋体" w:hAnsi="宋体" w:eastAsia="宋体"/>
          <w:szCs w:val="21"/>
        </w:rPr>
        <w:t>的任务，敷衍了事，</w:t>
      </w:r>
      <w:r>
        <w:rPr>
          <w:rFonts w:hint="eastAsia" w:ascii="宋体" w:hAnsi="宋体" w:eastAsia="宋体"/>
          <w:szCs w:val="21"/>
        </w:rPr>
        <w:t>导致</w:t>
      </w:r>
      <w:r>
        <w:rPr>
          <w:rFonts w:ascii="宋体" w:hAnsi="宋体" w:eastAsia="宋体"/>
          <w:szCs w:val="21"/>
        </w:rPr>
        <w:t>资助工</w:t>
      </w:r>
      <w:r>
        <w:rPr>
          <w:rFonts w:hint="eastAsia" w:ascii="宋体" w:hAnsi="宋体" w:eastAsia="宋体"/>
          <w:szCs w:val="21"/>
        </w:rPr>
        <w:t>作的育人效果较差。</w:t>
      </w:r>
    </w:p>
    <w:p>
      <w:pPr>
        <w:spacing w:line="400" w:lineRule="exact"/>
        <w:ind w:firstLine="422" w:firstLineChars="200"/>
        <w:rPr>
          <w:rFonts w:ascii="宋体" w:hAnsi="宋体" w:eastAsia="宋体"/>
          <w:b/>
          <w:szCs w:val="21"/>
        </w:rPr>
      </w:pPr>
      <w:r>
        <w:rPr>
          <w:rFonts w:hint="eastAsia" w:ascii="宋体" w:hAnsi="宋体" w:eastAsia="宋体"/>
          <w:b/>
          <w:szCs w:val="21"/>
        </w:rPr>
        <w:t>（四）资助</w:t>
      </w:r>
      <w:r>
        <w:rPr>
          <w:rFonts w:ascii="宋体" w:hAnsi="宋体" w:eastAsia="宋体"/>
          <w:b/>
          <w:szCs w:val="21"/>
        </w:rPr>
        <w:t>育人工作缺乏有效评价体系</w:t>
      </w:r>
    </w:p>
    <w:p>
      <w:pPr>
        <w:spacing w:line="400" w:lineRule="exact"/>
        <w:ind w:firstLine="420" w:firstLineChars="200"/>
        <w:rPr>
          <w:rFonts w:ascii="宋体" w:hAnsi="宋体" w:eastAsia="宋体"/>
          <w:szCs w:val="21"/>
        </w:rPr>
      </w:pPr>
      <w:r>
        <w:rPr>
          <w:rFonts w:hint="eastAsia" w:ascii="宋体" w:hAnsi="宋体" w:eastAsia="宋体"/>
          <w:szCs w:val="21"/>
        </w:rPr>
        <w:t>定期</w:t>
      </w:r>
      <w:r>
        <w:rPr>
          <w:rFonts w:ascii="宋体" w:hAnsi="宋体" w:eastAsia="宋体"/>
          <w:szCs w:val="21"/>
        </w:rPr>
        <w:t>对某项工作开展考核和评价，有利于及时发现工作中存在的问题，</w:t>
      </w:r>
      <w:r>
        <w:rPr>
          <w:rFonts w:hint="eastAsia" w:ascii="宋体" w:hAnsi="宋体" w:eastAsia="宋体"/>
          <w:szCs w:val="21"/>
        </w:rPr>
        <w:t>改进工作</w:t>
      </w:r>
      <w:r>
        <w:rPr>
          <w:rFonts w:ascii="宋体" w:hAnsi="宋体" w:eastAsia="宋体"/>
          <w:szCs w:val="21"/>
        </w:rPr>
        <w:t>方向，提升工作效率。对高校资助育人工作而言，科学有效的评价也大有裨益。</w:t>
      </w:r>
      <w:r>
        <w:rPr>
          <w:rFonts w:hint="eastAsia" w:ascii="宋体" w:hAnsi="宋体" w:eastAsia="宋体"/>
          <w:szCs w:val="21"/>
        </w:rPr>
        <w:t>笔者</w:t>
      </w:r>
      <w:r>
        <w:rPr>
          <w:rFonts w:ascii="宋体" w:hAnsi="宋体" w:eastAsia="宋体"/>
          <w:szCs w:val="21"/>
        </w:rPr>
        <w:t>通过查阅中国知网，以“</w:t>
      </w:r>
      <w:r>
        <w:rPr>
          <w:rFonts w:hint="eastAsia" w:ascii="宋体" w:hAnsi="宋体" w:eastAsia="宋体"/>
          <w:szCs w:val="21"/>
        </w:rPr>
        <w:t>资助</w:t>
      </w:r>
      <w:r>
        <w:rPr>
          <w:rFonts w:ascii="宋体" w:hAnsi="宋体" w:eastAsia="宋体"/>
          <w:szCs w:val="21"/>
        </w:rPr>
        <w:t>育人”</w:t>
      </w:r>
      <w:r>
        <w:rPr>
          <w:rFonts w:hint="eastAsia" w:ascii="宋体" w:hAnsi="宋体" w:eastAsia="宋体"/>
          <w:szCs w:val="21"/>
        </w:rPr>
        <w:t>为</w:t>
      </w:r>
      <w:r>
        <w:rPr>
          <w:rFonts w:ascii="宋体" w:hAnsi="宋体" w:eastAsia="宋体"/>
          <w:szCs w:val="21"/>
        </w:rPr>
        <w:t>关键词进行搜索，发现</w:t>
      </w:r>
      <w:r>
        <w:rPr>
          <w:rFonts w:hint="eastAsia" w:ascii="宋体" w:hAnsi="宋体" w:eastAsia="宋体"/>
          <w:szCs w:val="21"/>
        </w:rPr>
        <w:t>近</w:t>
      </w:r>
      <w:r>
        <w:rPr>
          <w:rFonts w:ascii="宋体" w:hAnsi="宋体" w:eastAsia="宋体"/>
          <w:szCs w:val="21"/>
        </w:rPr>
        <w:t>十年来国内对于资助育人的</w:t>
      </w:r>
      <w:r>
        <w:rPr>
          <w:rFonts w:hint="eastAsia" w:ascii="宋体" w:hAnsi="宋体" w:eastAsia="宋体"/>
          <w:szCs w:val="21"/>
        </w:rPr>
        <w:t>理论</w:t>
      </w:r>
      <w:r>
        <w:rPr>
          <w:rFonts w:ascii="宋体" w:hAnsi="宋体" w:eastAsia="宋体"/>
          <w:szCs w:val="21"/>
        </w:rPr>
        <w:t>研究不断深入，研究成果逐年增多</w:t>
      </w:r>
      <w:r>
        <w:rPr>
          <w:rFonts w:hint="eastAsia" w:ascii="宋体" w:hAnsi="宋体" w:eastAsia="宋体"/>
          <w:szCs w:val="21"/>
        </w:rPr>
        <w:t>，</w:t>
      </w:r>
      <w:r>
        <w:rPr>
          <w:rFonts w:ascii="宋体" w:hAnsi="宋体" w:eastAsia="宋体"/>
          <w:szCs w:val="21"/>
        </w:rPr>
        <w:t>对资助育人的研究热点</w:t>
      </w:r>
      <w:r>
        <w:rPr>
          <w:rFonts w:hint="eastAsia" w:ascii="宋体" w:hAnsi="宋体" w:eastAsia="宋体"/>
          <w:szCs w:val="21"/>
        </w:rPr>
        <w:t>则</w:t>
      </w:r>
      <w:r>
        <w:rPr>
          <w:rFonts w:ascii="宋体" w:hAnsi="宋体" w:eastAsia="宋体"/>
          <w:szCs w:val="21"/>
        </w:rPr>
        <w:t>主要集中</w:t>
      </w:r>
      <w:r>
        <w:rPr>
          <w:rFonts w:hint="eastAsia" w:ascii="宋体" w:hAnsi="宋体" w:eastAsia="宋体"/>
          <w:szCs w:val="21"/>
        </w:rPr>
        <w:t>在育人机制构建</w:t>
      </w:r>
      <w:r>
        <w:rPr>
          <w:rFonts w:ascii="宋体" w:hAnsi="宋体" w:eastAsia="宋体"/>
          <w:szCs w:val="21"/>
        </w:rPr>
        <w:t>、</w:t>
      </w:r>
      <w:r>
        <w:rPr>
          <w:rFonts w:hint="eastAsia" w:ascii="宋体" w:hAnsi="宋体" w:eastAsia="宋体"/>
          <w:szCs w:val="21"/>
        </w:rPr>
        <w:t>育人</w:t>
      </w:r>
      <w:r>
        <w:rPr>
          <w:rFonts w:ascii="宋体" w:hAnsi="宋体" w:eastAsia="宋体"/>
          <w:szCs w:val="21"/>
        </w:rPr>
        <w:t>功能论述、育人方式创新</w:t>
      </w:r>
      <w:r>
        <w:rPr>
          <w:rFonts w:hint="eastAsia" w:ascii="宋体" w:hAnsi="宋体" w:eastAsia="宋体"/>
          <w:szCs w:val="21"/>
        </w:rPr>
        <w:t>等</w:t>
      </w:r>
      <w:r>
        <w:rPr>
          <w:rFonts w:ascii="宋体" w:hAnsi="宋体" w:eastAsia="宋体"/>
          <w:szCs w:val="21"/>
        </w:rPr>
        <w:t>方面</w:t>
      </w:r>
      <w:r>
        <w:rPr>
          <w:rFonts w:hint="eastAsia" w:ascii="宋体" w:hAnsi="宋体" w:eastAsia="宋体"/>
          <w:szCs w:val="21"/>
        </w:rPr>
        <w:t>。例如</w:t>
      </w:r>
      <w:r>
        <w:rPr>
          <w:rFonts w:ascii="宋体" w:hAnsi="宋体" w:eastAsia="宋体"/>
          <w:szCs w:val="21"/>
        </w:rPr>
        <w:t>：徐美华</w:t>
      </w:r>
      <w:r>
        <w:rPr>
          <w:rFonts w:hint="eastAsia" w:ascii="宋体" w:hAnsi="宋体" w:eastAsia="宋体"/>
          <w:szCs w:val="21"/>
        </w:rPr>
        <w:t>（2016）等从</w:t>
      </w:r>
      <w:r>
        <w:rPr>
          <w:rFonts w:ascii="宋体" w:hAnsi="宋体" w:eastAsia="宋体"/>
          <w:szCs w:val="21"/>
        </w:rPr>
        <w:t>资助政策、</w:t>
      </w:r>
      <w:r>
        <w:rPr>
          <w:rFonts w:hint="eastAsia" w:ascii="宋体" w:hAnsi="宋体" w:eastAsia="宋体"/>
          <w:szCs w:val="21"/>
        </w:rPr>
        <w:t>运行</w:t>
      </w:r>
      <w:r>
        <w:rPr>
          <w:rFonts w:ascii="宋体" w:hAnsi="宋体" w:eastAsia="宋体"/>
          <w:szCs w:val="21"/>
        </w:rPr>
        <w:t>机制、</w:t>
      </w:r>
      <w:r>
        <w:rPr>
          <w:rFonts w:hint="eastAsia" w:ascii="宋体" w:hAnsi="宋体" w:eastAsia="宋体"/>
          <w:szCs w:val="21"/>
        </w:rPr>
        <w:t>保障体系</w:t>
      </w:r>
      <w:r>
        <w:rPr>
          <w:rFonts w:ascii="宋体" w:hAnsi="宋体" w:eastAsia="宋体"/>
          <w:szCs w:val="21"/>
        </w:rPr>
        <w:t>、</w:t>
      </w:r>
      <w:r>
        <w:rPr>
          <w:rFonts w:hint="eastAsia" w:ascii="宋体" w:hAnsi="宋体" w:eastAsia="宋体"/>
          <w:szCs w:val="21"/>
        </w:rPr>
        <w:t>整合</w:t>
      </w:r>
      <w:r>
        <w:rPr>
          <w:rFonts w:ascii="宋体" w:hAnsi="宋体" w:eastAsia="宋体"/>
          <w:szCs w:val="21"/>
        </w:rPr>
        <w:t>资源等方面入手，构建了高校资助育人</w:t>
      </w:r>
      <w:r>
        <w:rPr>
          <w:rFonts w:hint="eastAsia" w:ascii="宋体" w:hAnsi="宋体" w:eastAsia="宋体"/>
          <w:szCs w:val="21"/>
        </w:rPr>
        <w:t>工作</w:t>
      </w:r>
      <w:r>
        <w:rPr>
          <w:rFonts w:ascii="宋体" w:hAnsi="宋体" w:eastAsia="宋体"/>
          <w:szCs w:val="21"/>
        </w:rPr>
        <w:t>的</w:t>
      </w:r>
      <w:r>
        <w:rPr>
          <w:rFonts w:hint="eastAsia" w:ascii="宋体" w:hAnsi="宋体" w:eastAsia="宋体"/>
          <w:szCs w:val="21"/>
        </w:rPr>
        <w:t>长效机制</w:t>
      </w:r>
      <w:r>
        <w:rPr>
          <w:rFonts w:ascii="宋体" w:hAnsi="宋体" w:eastAsia="宋体"/>
          <w:szCs w:val="21"/>
        </w:rPr>
        <w:t>；</w:t>
      </w:r>
      <w:r>
        <w:rPr>
          <w:rFonts w:hint="eastAsia" w:ascii="宋体" w:hAnsi="宋体" w:eastAsia="宋体"/>
          <w:szCs w:val="21"/>
        </w:rPr>
        <w:t>张远航</w:t>
      </w:r>
      <w:r>
        <w:rPr>
          <w:rFonts w:ascii="宋体" w:hAnsi="宋体" w:eastAsia="宋体"/>
          <w:szCs w:val="21"/>
        </w:rPr>
        <w:t>（</w:t>
      </w:r>
      <w:r>
        <w:rPr>
          <w:rFonts w:hint="eastAsia" w:ascii="宋体" w:hAnsi="宋体" w:eastAsia="宋体"/>
          <w:szCs w:val="21"/>
        </w:rPr>
        <w:t>2018</w:t>
      </w:r>
      <w:r>
        <w:rPr>
          <w:rFonts w:ascii="宋体" w:hAnsi="宋体" w:eastAsia="宋体"/>
          <w:szCs w:val="21"/>
        </w:rPr>
        <w:t>）</w:t>
      </w:r>
      <w:r>
        <w:rPr>
          <w:rFonts w:hint="eastAsia" w:ascii="宋体" w:hAnsi="宋体" w:eastAsia="宋体"/>
          <w:szCs w:val="21"/>
        </w:rPr>
        <w:t>分析了</w:t>
      </w:r>
      <w:r>
        <w:rPr>
          <w:rFonts w:ascii="宋体" w:hAnsi="宋体" w:eastAsia="宋体"/>
          <w:szCs w:val="21"/>
        </w:rPr>
        <w:t>资助育人的</w:t>
      </w:r>
      <w:r>
        <w:rPr>
          <w:rFonts w:hint="eastAsia" w:ascii="宋体" w:hAnsi="宋体" w:eastAsia="宋体"/>
          <w:szCs w:val="21"/>
        </w:rPr>
        <w:t>重要</w:t>
      </w:r>
      <w:r>
        <w:rPr>
          <w:rFonts w:ascii="宋体" w:hAnsi="宋体" w:eastAsia="宋体"/>
          <w:szCs w:val="21"/>
        </w:rPr>
        <w:t>价值，并</w:t>
      </w:r>
      <w:r>
        <w:rPr>
          <w:rFonts w:hint="eastAsia" w:ascii="宋体" w:hAnsi="宋体" w:eastAsia="宋体"/>
          <w:szCs w:val="21"/>
        </w:rPr>
        <w:t>探讨</w:t>
      </w:r>
      <w:r>
        <w:rPr>
          <w:rFonts w:ascii="宋体" w:hAnsi="宋体" w:eastAsia="宋体"/>
          <w:szCs w:val="21"/>
        </w:rPr>
        <w:t>了资助育人工作的实现路径</w:t>
      </w:r>
      <w:r>
        <w:rPr>
          <w:rFonts w:hint="eastAsia" w:ascii="宋体" w:hAnsi="宋体" w:eastAsia="宋体"/>
          <w:szCs w:val="21"/>
        </w:rPr>
        <w:t>；李</w:t>
      </w:r>
      <w:r>
        <w:rPr>
          <w:rFonts w:ascii="宋体" w:hAnsi="宋体" w:eastAsia="宋体"/>
          <w:szCs w:val="21"/>
        </w:rPr>
        <w:t>义波</w:t>
      </w:r>
      <w:r>
        <w:rPr>
          <w:rFonts w:hint="eastAsia" w:ascii="宋体" w:hAnsi="宋体" w:eastAsia="宋体"/>
          <w:szCs w:val="21"/>
        </w:rPr>
        <w:t>（2019）则探析</w:t>
      </w:r>
      <w:r>
        <w:rPr>
          <w:rFonts w:ascii="宋体" w:hAnsi="宋体" w:eastAsia="宋体"/>
          <w:szCs w:val="21"/>
        </w:rPr>
        <w:t>了</w:t>
      </w:r>
      <w:r>
        <w:rPr>
          <w:rFonts w:hint="eastAsia" w:ascii="宋体" w:hAnsi="宋体" w:eastAsia="宋体"/>
          <w:szCs w:val="21"/>
        </w:rPr>
        <w:t>“五位一体”的高校</w:t>
      </w:r>
      <w:r>
        <w:rPr>
          <w:rFonts w:ascii="宋体" w:hAnsi="宋体" w:eastAsia="宋体"/>
          <w:szCs w:val="21"/>
        </w:rPr>
        <w:t>发展型资助</w:t>
      </w:r>
      <w:r>
        <w:rPr>
          <w:rFonts w:hint="eastAsia" w:ascii="宋体" w:hAnsi="宋体" w:eastAsia="宋体"/>
          <w:szCs w:val="21"/>
        </w:rPr>
        <w:t>育人工作</w:t>
      </w:r>
      <w:r>
        <w:rPr>
          <w:rFonts w:ascii="宋体" w:hAnsi="宋体" w:eastAsia="宋体"/>
          <w:szCs w:val="21"/>
        </w:rPr>
        <w:t>体系</w:t>
      </w:r>
      <w:bookmarkStart w:id="0" w:name="_GoBack"/>
      <w:bookmarkEnd w:id="0"/>
      <w:r>
        <w:rPr>
          <w:rFonts w:ascii="宋体" w:hAnsi="宋体" w:eastAsia="宋体"/>
          <w:szCs w:val="21"/>
        </w:rPr>
        <w:t>。</w:t>
      </w:r>
      <w:r>
        <w:rPr>
          <w:rFonts w:hint="eastAsia" w:ascii="宋体" w:hAnsi="宋体" w:eastAsia="宋体"/>
          <w:szCs w:val="21"/>
        </w:rPr>
        <w:t>无论</w:t>
      </w:r>
      <w:r>
        <w:rPr>
          <w:rFonts w:ascii="宋体" w:hAnsi="宋体" w:eastAsia="宋体"/>
          <w:szCs w:val="21"/>
        </w:rPr>
        <w:t>从理论</w:t>
      </w:r>
      <w:r>
        <w:rPr>
          <w:rFonts w:hint="eastAsia" w:ascii="宋体" w:hAnsi="宋体" w:eastAsia="宋体"/>
          <w:szCs w:val="21"/>
        </w:rPr>
        <w:t>研究</w:t>
      </w:r>
      <w:r>
        <w:rPr>
          <w:rFonts w:ascii="宋体" w:hAnsi="宋体" w:eastAsia="宋体"/>
          <w:szCs w:val="21"/>
        </w:rPr>
        <w:t>还是实践探索，资助育人</w:t>
      </w:r>
      <w:r>
        <w:rPr>
          <w:rFonts w:hint="eastAsia" w:ascii="宋体" w:hAnsi="宋体" w:eastAsia="宋体"/>
          <w:szCs w:val="21"/>
        </w:rPr>
        <w:t>工作</w:t>
      </w:r>
      <w:r>
        <w:rPr>
          <w:rFonts w:ascii="宋体" w:hAnsi="宋体" w:eastAsia="宋体"/>
          <w:szCs w:val="21"/>
        </w:rPr>
        <w:t>都越来越受到重视</w:t>
      </w:r>
      <w:r>
        <w:rPr>
          <w:rFonts w:hint="eastAsia" w:ascii="宋体" w:hAnsi="宋体" w:eastAsia="宋体"/>
          <w:szCs w:val="21"/>
        </w:rPr>
        <w:t>，</w:t>
      </w:r>
      <w:r>
        <w:rPr>
          <w:rFonts w:ascii="宋体" w:hAnsi="宋体" w:eastAsia="宋体"/>
          <w:szCs w:val="21"/>
        </w:rPr>
        <w:t>但是通过查阅文献</w:t>
      </w:r>
      <w:r>
        <w:rPr>
          <w:rFonts w:hint="eastAsia" w:ascii="宋体" w:hAnsi="宋体" w:eastAsia="宋体"/>
          <w:szCs w:val="21"/>
        </w:rPr>
        <w:t>资料，却发现</w:t>
      </w:r>
      <w:r>
        <w:rPr>
          <w:rFonts w:ascii="宋体" w:hAnsi="宋体" w:eastAsia="宋体"/>
          <w:szCs w:val="21"/>
        </w:rPr>
        <w:t>资助育人工作</w:t>
      </w:r>
      <w:r>
        <w:rPr>
          <w:rFonts w:hint="eastAsia" w:ascii="宋体" w:hAnsi="宋体" w:eastAsia="宋体"/>
          <w:szCs w:val="21"/>
        </w:rPr>
        <w:t>尚且</w:t>
      </w:r>
      <w:r>
        <w:rPr>
          <w:rFonts w:ascii="宋体" w:hAnsi="宋体" w:eastAsia="宋体"/>
          <w:szCs w:val="21"/>
        </w:rPr>
        <w:t>缺乏有效的评价体系。高校虽然</w:t>
      </w:r>
      <w:r>
        <w:rPr>
          <w:rFonts w:hint="eastAsia" w:ascii="宋体" w:hAnsi="宋体" w:eastAsia="宋体"/>
          <w:szCs w:val="21"/>
        </w:rPr>
        <w:t>重视</w:t>
      </w:r>
      <w:r>
        <w:rPr>
          <w:rFonts w:ascii="宋体" w:hAnsi="宋体" w:eastAsia="宋体"/>
          <w:szCs w:val="21"/>
        </w:rPr>
        <w:t>资助育人</w:t>
      </w:r>
      <w:r>
        <w:rPr>
          <w:rFonts w:hint="eastAsia" w:ascii="宋体" w:hAnsi="宋体" w:eastAsia="宋体"/>
          <w:szCs w:val="21"/>
        </w:rPr>
        <w:t>工作</w:t>
      </w:r>
      <w:r>
        <w:rPr>
          <w:rFonts w:ascii="宋体" w:hAnsi="宋体" w:eastAsia="宋体"/>
          <w:szCs w:val="21"/>
        </w:rPr>
        <w:t>，构建起资助育人体系，</w:t>
      </w:r>
      <w:r>
        <w:rPr>
          <w:rFonts w:hint="eastAsia" w:ascii="宋体" w:hAnsi="宋体" w:eastAsia="宋体"/>
          <w:szCs w:val="21"/>
        </w:rPr>
        <w:t>开展</w:t>
      </w:r>
      <w:r>
        <w:rPr>
          <w:rFonts w:ascii="宋体" w:hAnsi="宋体" w:eastAsia="宋体"/>
          <w:szCs w:val="21"/>
        </w:rPr>
        <w:t>资助育人活动，</w:t>
      </w:r>
      <w:r>
        <w:rPr>
          <w:rFonts w:hint="eastAsia" w:ascii="宋体" w:hAnsi="宋体" w:eastAsia="宋体"/>
          <w:szCs w:val="21"/>
        </w:rPr>
        <w:t>但是</w:t>
      </w:r>
      <w:r>
        <w:rPr>
          <w:rFonts w:ascii="宋体" w:hAnsi="宋体" w:eastAsia="宋体"/>
          <w:szCs w:val="21"/>
        </w:rPr>
        <w:t>对资助育人</w:t>
      </w:r>
      <w:r>
        <w:rPr>
          <w:rFonts w:hint="eastAsia" w:ascii="宋体" w:hAnsi="宋体" w:eastAsia="宋体"/>
          <w:szCs w:val="21"/>
        </w:rPr>
        <w:t>工作</w:t>
      </w:r>
      <w:r>
        <w:rPr>
          <w:rFonts w:ascii="宋体" w:hAnsi="宋体" w:eastAsia="宋体"/>
          <w:szCs w:val="21"/>
        </w:rPr>
        <w:t>缺乏有效考核。</w:t>
      </w:r>
      <w:r>
        <w:rPr>
          <w:rFonts w:hint="eastAsia" w:ascii="宋体" w:hAnsi="宋体" w:eastAsia="宋体"/>
          <w:szCs w:val="21"/>
        </w:rPr>
        <w:t>目前</w:t>
      </w:r>
      <w:r>
        <w:rPr>
          <w:rFonts w:ascii="宋体" w:hAnsi="宋体" w:eastAsia="宋体"/>
          <w:szCs w:val="21"/>
        </w:rPr>
        <w:t>，资助育人工作存在着重推进</w:t>
      </w:r>
      <w:r>
        <w:rPr>
          <w:rFonts w:hint="eastAsia" w:ascii="宋体" w:hAnsi="宋体" w:eastAsia="宋体"/>
          <w:szCs w:val="21"/>
        </w:rPr>
        <w:t>轻</w:t>
      </w:r>
      <w:r>
        <w:rPr>
          <w:rFonts w:ascii="宋体" w:hAnsi="宋体" w:eastAsia="宋体"/>
          <w:szCs w:val="21"/>
        </w:rPr>
        <w:t>考核、重实施轻反思的问题。</w:t>
      </w:r>
    </w:p>
    <w:p>
      <w:pPr>
        <w:spacing w:line="400" w:lineRule="exact"/>
        <w:ind w:firstLine="482" w:firstLineChars="200"/>
        <w:rPr>
          <w:rFonts w:ascii="宋体" w:hAnsi="宋体" w:eastAsia="宋体"/>
          <w:b/>
          <w:sz w:val="24"/>
          <w:szCs w:val="24"/>
        </w:rPr>
      </w:pPr>
      <w:r>
        <w:rPr>
          <w:rFonts w:hint="eastAsia" w:ascii="宋体" w:hAnsi="宋体" w:eastAsia="宋体"/>
          <w:b/>
          <w:sz w:val="24"/>
          <w:szCs w:val="24"/>
        </w:rPr>
        <w:t>二</w:t>
      </w:r>
      <w:r>
        <w:rPr>
          <w:rFonts w:ascii="宋体" w:hAnsi="宋体" w:eastAsia="宋体"/>
          <w:b/>
          <w:sz w:val="24"/>
          <w:szCs w:val="24"/>
        </w:rPr>
        <w:t>、</w:t>
      </w:r>
      <w:r>
        <w:rPr>
          <w:rFonts w:hint="eastAsia" w:ascii="宋体" w:hAnsi="宋体" w:eastAsia="宋体"/>
          <w:b/>
          <w:sz w:val="24"/>
          <w:szCs w:val="24"/>
        </w:rPr>
        <w:t>高校资助育人</w:t>
      </w:r>
      <w:r>
        <w:rPr>
          <w:rFonts w:ascii="宋体" w:hAnsi="宋体" w:eastAsia="宋体"/>
          <w:b/>
          <w:sz w:val="24"/>
          <w:szCs w:val="24"/>
        </w:rPr>
        <w:t>工作评价体系</w:t>
      </w:r>
      <w:r>
        <w:rPr>
          <w:rFonts w:hint="eastAsia" w:ascii="宋体" w:hAnsi="宋体" w:eastAsia="宋体"/>
          <w:b/>
          <w:sz w:val="24"/>
          <w:szCs w:val="24"/>
        </w:rPr>
        <w:t>的</w:t>
      </w:r>
      <w:r>
        <w:rPr>
          <w:rFonts w:ascii="宋体" w:hAnsi="宋体" w:eastAsia="宋体"/>
          <w:b/>
          <w:sz w:val="24"/>
          <w:szCs w:val="24"/>
        </w:rPr>
        <w:t>构建</w:t>
      </w:r>
    </w:p>
    <w:p>
      <w:pPr>
        <w:spacing w:line="400" w:lineRule="exact"/>
        <w:ind w:firstLine="422" w:firstLineChars="200"/>
        <w:rPr>
          <w:rFonts w:ascii="宋体" w:hAnsi="宋体" w:eastAsia="宋体"/>
          <w:b/>
          <w:szCs w:val="21"/>
        </w:rPr>
      </w:pPr>
      <w:r>
        <w:rPr>
          <w:rFonts w:hint="eastAsia" w:ascii="宋体" w:hAnsi="宋体" w:eastAsia="宋体"/>
          <w:b/>
          <w:szCs w:val="21"/>
        </w:rPr>
        <w:t>（一）层次分析法</w:t>
      </w:r>
    </w:p>
    <w:p>
      <w:pPr>
        <w:spacing w:line="400" w:lineRule="exact"/>
        <w:ind w:firstLine="420" w:firstLineChars="200"/>
        <w:rPr>
          <w:rFonts w:ascii="宋体" w:hAnsi="宋体" w:eastAsia="宋体"/>
          <w:szCs w:val="21"/>
        </w:rPr>
      </w:pPr>
      <w:r>
        <w:rPr>
          <w:rFonts w:hint="eastAsia" w:ascii="宋体" w:hAnsi="宋体" w:eastAsia="宋体"/>
          <w:szCs w:val="21"/>
        </w:rPr>
        <w:t>层次分析法（</w:t>
      </w:r>
      <w:r>
        <w:rPr>
          <w:rFonts w:ascii="Times New Roman" w:hAnsi="Times New Roman" w:eastAsia="宋体" w:cs="Times New Roman"/>
          <w:szCs w:val="21"/>
        </w:rPr>
        <w:t>Analytic Hierarchy Process</w:t>
      </w:r>
      <w:r>
        <w:rPr>
          <w:rFonts w:ascii="宋体" w:hAnsi="宋体" w:eastAsia="宋体"/>
          <w:szCs w:val="21"/>
        </w:rPr>
        <w:t>，又名</w:t>
      </w:r>
      <w:r>
        <w:rPr>
          <w:rFonts w:ascii="Times New Roman" w:hAnsi="Times New Roman" w:eastAsia="宋体" w:cs="Times New Roman"/>
          <w:szCs w:val="21"/>
        </w:rPr>
        <w:t>AHP</w:t>
      </w:r>
      <w:r>
        <w:rPr>
          <w:rFonts w:ascii="宋体" w:hAnsi="宋体" w:eastAsia="宋体"/>
          <w:szCs w:val="21"/>
        </w:rPr>
        <w:t>法），是20世纪70年代初美国运筹学家匹茨堡大学教授萨蒂提出的一种确定权重的分析方法。层次分析法是将目标分解成多个要素层，进而再分解为不同的指标层，然后通过专家咨询的方法，对指标进行两两比较，按照各指标的相对顺序构造评价指标的判断矩阵，求其特征向量，确定各要素对总目标的贡献程度，从而得到各指标对总目标的重要性程度的排列顺序，确定其权重。</w:t>
      </w:r>
      <w:r>
        <w:rPr>
          <w:rFonts w:hint="eastAsia" w:ascii="宋体" w:hAnsi="宋体" w:eastAsia="宋体"/>
          <w:szCs w:val="21"/>
        </w:rPr>
        <w:t>层次分析法</w:t>
      </w:r>
      <w:r>
        <w:rPr>
          <w:rFonts w:ascii="宋体" w:hAnsi="宋体" w:eastAsia="宋体"/>
          <w:szCs w:val="21"/>
        </w:rPr>
        <w:t>是一种定性与定量相结合的方法</w:t>
      </w:r>
      <w:r>
        <w:rPr>
          <w:rFonts w:hint="eastAsia" w:ascii="宋体" w:hAnsi="宋体" w:eastAsia="宋体"/>
          <w:szCs w:val="21"/>
        </w:rPr>
        <w:t>。</w:t>
      </w:r>
    </w:p>
    <w:p>
      <w:pPr>
        <w:spacing w:line="400" w:lineRule="exact"/>
        <w:ind w:firstLine="422" w:firstLineChars="200"/>
        <w:rPr>
          <w:rFonts w:ascii="宋体" w:hAnsi="宋体" w:eastAsia="宋体"/>
          <w:b/>
          <w:szCs w:val="21"/>
        </w:rPr>
      </w:pPr>
      <w:r>
        <w:rPr>
          <w:rFonts w:hint="eastAsia" w:ascii="宋体" w:hAnsi="宋体" w:eastAsia="宋体"/>
          <w:b/>
          <w:szCs w:val="21"/>
        </w:rPr>
        <w:t>（二）构建高校资助</w:t>
      </w:r>
      <w:r>
        <w:rPr>
          <w:rFonts w:ascii="宋体" w:hAnsi="宋体" w:eastAsia="宋体"/>
          <w:b/>
          <w:szCs w:val="21"/>
        </w:rPr>
        <w:t>育人工作评价体系</w:t>
      </w:r>
      <w:r>
        <w:rPr>
          <w:rFonts w:hint="eastAsia" w:ascii="宋体" w:hAnsi="宋体" w:eastAsia="宋体"/>
          <w:b/>
          <w:szCs w:val="21"/>
        </w:rPr>
        <w:t>的层次</w:t>
      </w:r>
      <w:r>
        <w:rPr>
          <w:rFonts w:ascii="宋体" w:hAnsi="宋体" w:eastAsia="宋体"/>
          <w:b/>
          <w:szCs w:val="21"/>
        </w:rPr>
        <w:t>分析模型</w:t>
      </w:r>
    </w:p>
    <w:p>
      <w:pPr>
        <w:spacing w:line="400" w:lineRule="exact"/>
        <w:ind w:firstLine="420" w:firstLineChars="200"/>
        <w:rPr>
          <w:rFonts w:ascii="宋体" w:hAnsi="宋体" w:eastAsia="宋体"/>
          <w:szCs w:val="21"/>
        </w:rPr>
      </w:pPr>
      <w:r>
        <w:rPr>
          <w:rFonts w:hint="eastAsia" w:ascii="宋体" w:hAnsi="宋体" w:eastAsia="宋体"/>
          <w:szCs w:val="21"/>
        </w:rPr>
        <w:t>层次</w:t>
      </w:r>
      <w:r>
        <w:rPr>
          <w:rFonts w:ascii="宋体" w:hAnsi="宋体" w:eastAsia="宋体"/>
          <w:szCs w:val="21"/>
        </w:rPr>
        <w:t>分析法</w:t>
      </w:r>
      <w:r>
        <w:rPr>
          <w:rFonts w:hint="eastAsia" w:ascii="宋体" w:hAnsi="宋体" w:eastAsia="宋体"/>
          <w:szCs w:val="21"/>
        </w:rPr>
        <w:t>运用的</w:t>
      </w:r>
      <w:r>
        <w:rPr>
          <w:rFonts w:ascii="宋体" w:hAnsi="宋体" w:eastAsia="宋体"/>
          <w:szCs w:val="21"/>
        </w:rPr>
        <w:t>前提</w:t>
      </w:r>
      <w:r>
        <w:rPr>
          <w:rFonts w:hint="eastAsia" w:ascii="宋体" w:hAnsi="宋体" w:eastAsia="宋体"/>
          <w:szCs w:val="21"/>
        </w:rPr>
        <w:t>是</w:t>
      </w:r>
      <w:r>
        <w:rPr>
          <w:rFonts w:ascii="宋体" w:hAnsi="宋体" w:eastAsia="宋体"/>
          <w:szCs w:val="21"/>
        </w:rPr>
        <w:t>构建</w:t>
      </w:r>
      <w:r>
        <w:rPr>
          <w:rFonts w:hint="eastAsia" w:ascii="宋体" w:hAnsi="宋体" w:eastAsia="宋体"/>
          <w:szCs w:val="21"/>
        </w:rPr>
        <w:t>层次</w:t>
      </w:r>
      <w:r>
        <w:rPr>
          <w:rFonts w:ascii="宋体" w:hAnsi="宋体" w:eastAsia="宋体"/>
          <w:szCs w:val="21"/>
        </w:rPr>
        <w:t>分析模型</w:t>
      </w:r>
      <w:r>
        <w:rPr>
          <w:rFonts w:hint="eastAsia" w:ascii="宋体" w:hAnsi="宋体" w:eastAsia="宋体"/>
          <w:szCs w:val="21"/>
        </w:rPr>
        <w:t>。高校</w:t>
      </w:r>
      <w:r>
        <w:rPr>
          <w:rFonts w:ascii="宋体" w:hAnsi="宋体" w:eastAsia="宋体"/>
          <w:szCs w:val="21"/>
        </w:rPr>
        <w:t>资助育人工作</w:t>
      </w:r>
      <w:r>
        <w:rPr>
          <w:rFonts w:hint="eastAsia" w:ascii="宋体" w:hAnsi="宋体" w:eastAsia="宋体"/>
          <w:szCs w:val="21"/>
        </w:rPr>
        <w:t>涵盖</w:t>
      </w:r>
      <w:r>
        <w:rPr>
          <w:rFonts w:ascii="宋体" w:hAnsi="宋体" w:eastAsia="宋体"/>
          <w:szCs w:val="21"/>
        </w:rPr>
        <w:t>的范围广泛</w:t>
      </w:r>
      <w:r>
        <w:rPr>
          <w:rFonts w:hint="eastAsia" w:ascii="宋体" w:hAnsi="宋体" w:eastAsia="宋体"/>
          <w:szCs w:val="21"/>
        </w:rPr>
        <w:t>，</w:t>
      </w:r>
      <w:r>
        <w:rPr>
          <w:rFonts w:ascii="宋体" w:hAnsi="宋体" w:eastAsia="宋体"/>
          <w:szCs w:val="21"/>
        </w:rPr>
        <w:t>从前期家庭经济困难学生认定</w:t>
      </w:r>
      <w:r>
        <w:rPr>
          <w:rFonts w:hint="eastAsia" w:ascii="宋体" w:hAnsi="宋体" w:eastAsia="宋体"/>
          <w:szCs w:val="21"/>
        </w:rPr>
        <w:t>到</w:t>
      </w:r>
      <w:r>
        <w:rPr>
          <w:rFonts w:ascii="宋体" w:hAnsi="宋体" w:eastAsia="宋体"/>
          <w:szCs w:val="21"/>
        </w:rPr>
        <w:t>各类奖助学金的评定发放，</w:t>
      </w:r>
      <w:r>
        <w:rPr>
          <w:rFonts w:hint="eastAsia" w:ascii="宋体" w:hAnsi="宋体" w:eastAsia="宋体"/>
          <w:szCs w:val="21"/>
        </w:rPr>
        <w:t>从受助学生心理</w:t>
      </w:r>
      <w:r>
        <w:rPr>
          <w:rFonts w:ascii="宋体" w:hAnsi="宋体" w:eastAsia="宋体"/>
          <w:szCs w:val="21"/>
        </w:rPr>
        <w:t>辅</w:t>
      </w:r>
      <w:r>
        <w:rPr>
          <w:rFonts w:hint="eastAsia" w:ascii="宋体" w:hAnsi="宋体" w:eastAsia="宋体"/>
          <w:szCs w:val="21"/>
        </w:rPr>
        <w:t>导</w:t>
      </w:r>
      <w:r>
        <w:rPr>
          <w:rFonts w:ascii="宋体" w:hAnsi="宋体" w:eastAsia="宋体"/>
          <w:szCs w:val="21"/>
        </w:rPr>
        <w:t>到</w:t>
      </w:r>
      <w:r>
        <w:rPr>
          <w:rFonts w:hint="eastAsia" w:ascii="宋体" w:hAnsi="宋体" w:eastAsia="宋体"/>
          <w:szCs w:val="21"/>
        </w:rPr>
        <w:t>素质</w:t>
      </w:r>
      <w:r>
        <w:rPr>
          <w:rFonts w:ascii="宋体" w:hAnsi="宋体" w:eastAsia="宋体"/>
          <w:szCs w:val="21"/>
        </w:rPr>
        <w:t>提升，从资助工作人员业务能力培训到资助政策宣传，都</w:t>
      </w:r>
      <w:r>
        <w:rPr>
          <w:rFonts w:hint="eastAsia" w:ascii="宋体" w:hAnsi="宋体" w:eastAsia="宋体"/>
          <w:szCs w:val="21"/>
        </w:rPr>
        <w:t>属于</w:t>
      </w:r>
      <w:r>
        <w:rPr>
          <w:rFonts w:ascii="宋体" w:hAnsi="宋体" w:eastAsia="宋体"/>
          <w:szCs w:val="21"/>
        </w:rPr>
        <w:t>资助育人工作的范畴</w:t>
      </w:r>
      <w:r>
        <w:rPr>
          <w:rFonts w:hint="eastAsia" w:ascii="宋体" w:hAnsi="宋体" w:eastAsia="宋体"/>
          <w:szCs w:val="21"/>
        </w:rPr>
        <w:t>。通过</w:t>
      </w:r>
      <w:r>
        <w:rPr>
          <w:rFonts w:ascii="宋体" w:hAnsi="宋体" w:eastAsia="宋体"/>
          <w:szCs w:val="21"/>
        </w:rPr>
        <w:t>对资助育人工作内容的分析，</w:t>
      </w:r>
      <w:r>
        <w:rPr>
          <w:rFonts w:hint="eastAsia" w:ascii="宋体" w:hAnsi="宋体" w:eastAsia="宋体"/>
          <w:szCs w:val="21"/>
        </w:rPr>
        <w:t>本文</w:t>
      </w:r>
      <w:r>
        <w:rPr>
          <w:rFonts w:ascii="宋体" w:hAnsi="宋体" w:eastAsia="宋体"/>
          <w:szCs w:val="21"/>
        </w:rPr>
        <w:t>构建了</w:t>
      </w:r>
      <w:r>
        <w:rPr>
          <w:rFonts w:hint="eastAsia" w:ascii="宋体" w:hAnsi="宋体" w:eastAsia="宋体"/>
          <w:szCs w:val="21"/>
        </w:rPr>
        <w:t>资助育人</w:t>
      </w:r>
      <w:r>
        <w:rPr>
          <w:rFonts w:ascii="宋体" w:hAnsi="宋体" w:eastAsia="宋体"/>
          <w:szCs w:val="21"/>
        </w:rPr>
        <w:t>工作评价体系的层次分析模型如下表所示：</w:t>
      </w:r>
    </w:p>
    <w:p>
      <w:pPr>
        <w:spacing w:line="400" w:lineRule="exact"/>
        <w:ind w:firstLine="420" w:firstLineChars="200"/>
        <w:rPr>
          <w:rFonts w:ascii="宋体" w:hAnsi="宋体" w:eastAsia="宋体"/>
          <w:szCs w:val="21"/>
        </w:rPr>
      </w:pPr>
    </w:p>
    <w:p>
      <w:pPr>
        <w:spacing w:line="400" w:lineRule="exact"/>
        <w:ind w:firstLine="420" w:firstLineChars="200"/>
        <w:rPr>
          <w:rFonts w:ascii="宋体" w:hAnsi="宋体" w:eastAsia="宋体"/>
          <w:szCs w:val="21"/>
        </w:rPr>
      </w:pPr>
    </w:p>
    <w:p>
      <w:pPr>
        <w:spacing w:line="400" w:lineRule="exact"/>
        <w:ind w:firstLine="420" w:firstLineChars="200"/>
        <w:rPr>
          <w:rFonts w:ascii="宋体" w:hAnsi="宋体" w:eastAsia="宋体"/>
          <w:szCs w:val="21"/>
        </w:rPr>
      </w:pPr>
    </w:p>
    <w:p>
      <w:pPr>
        <w:spacing w:line="400" w:lineRule="exact"/>
        <w:ind w:firstLine="420" w:firstLineChars="200"/>
        <w:rPr>
          <w:rFonts w:ascii="宋体" w:hAnsi="宋体" w:eastAsia="宋体"/>
          <w:szCs w:val="21"/>
        </w:rPr>
      </w:pPr>
    </w:p>
    <w:p>
      <w:pPr>
        <w:spacing w:line="400" w:lineRule="exact"/>
        <w:ind w:firstLine="420" w:firstLineChars="200"/>
        <w:rPr>
          <w:rFonts w:ascii="宋体" w:hAnsi="宋体" w:eastAsia="宋体"/>
          <w:szCs w:val="21"/>
        </w:rPr>
      </w:pPr>
    </w:p>
    <w:p>
      <w:pPr>
        <w:spacing w:line="400" w:lineRule="exact"/>
        <w:ind w:firstLine="420" w:firstLineChars="200"/>
        <w:rPr>
          <w:rFonts w:ascii="宋体" w:hAnsi="宋体" w:eastAsia="宋体"/>
          <w:szCs w:val="21"/>
        </w:rPr>
      </w:pPr>
    </w:p>
    <w:p>
      <w:pPr>
        <w:spacing w:line="400" w:lineRule="exact"/>
        <w:ind w:firstLine="420" w:firstLineChars="200"/>
        <w:rPr>
          <w:rFonts w:ascii="宋体" w:hAnsi="宋体" w:eastAsia="宋体"/>
          <w:szCs w:val="21"/>
        </w:rPr>
      </w:pPr>
    </w:p>
    <w:p>
      <w:pPr>
        <w:spacing w:line="400" w:lineRule="exact"/>
        <w:jc w:val="center"/>
        <w:rPr>
          <w:rFonts w:ascii="宋体" w:hAnsi="宋体" w:eastAsia="宋体"/>
          <w:szCs w:val="21"/>
        </w:rPr>
      </w:pPr>
      <w:r>
        <w:rPr>
          <w:rFonts w:hint="eastAsia" w:ascii="宋体" w:hAnsi="宋体" w:eastAsia="宋体"/>
          <w:szCs w:val="21"/>
        </w:rPr>
        <w:t>表1 高校</w:t>
      </w:r>
      <w:r>
        <w:rPr>
          <w:rFonts w:ascii="宋体" w:hAnsi="宋体" w:eastAsia="宋体"/>
          <w:szCs w:val="21"/>
        </w:rPr>
        <w:t>资助</w:t>
      </w:r>
      <w:r>
        <w:rPr>
          <w:rFonts w:hint="eastAsia" w:ascii="宋体" w:hAnsi="宋体" w:eastAsia="宋体"/>
          <w:szCs w:val="21"/>
        </w:rPr>
        <w:t>育人</w:t>
      </w:r>
      <w:r>
        <w:rPr>
          <w:rFonts w:ascii="宋体" w:hAnsi="宋体" w:eastAsia="宋体"/>
          <w:szCs w:val="21"/>
        </w:rPr>
        <w:t>工作评价体系层次分析模型</w:t>
      </w:r>
    </w:p>
    <w:tbl>
      <w:tblPr>
        <w:tblStyle w:val="9"/>
        <w:tblW w:w="79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55"/>
        <w:gridCol w:w="1588"/>
        <w:gridCol w:w="47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55" w:type="dxa"/>
            <w:tcBorders>
              <w:top w:val="single" w:color="000000" w:themeColor="text1" w:sz="4" w:space="0"/>
              <w:bottom w:val="single" w:color="000000" w:themeColor="text1" w:sz="4" w:space="0"/>
            </w:tcBorders>
            <w:vAlign w:val="center"/>
          </w:tcPr>
          <w:p>
            <w:pPr>
              <w:spacing w:line="400" w:lineRule="exact"/>
              <w:jc w:val="center"/>
              <w:rPr>
                <w:rFonts w:ascii="宋体" w:hAnsi="宋体" w:eastAsia="宋体"/>
                <w:szCs w:val="21"/>
              </w:rPr>
            </w:pPr>
            <w:r>
              <w:rPr>
                <w:rFonts w:hint="eastAsia" w:ascii="宋体" w:hAnsi="宋体" w:eastAsia="宋体"/>
                <w:szCs w:val="21"/>
              </w:rPr>
              <w:t>目标层</w:t>
            </w:r>
          </w:p>
        </w:tc>
        <w:tc>
          <w:tcPr>
            <w:tcW w:w="1588" w:type="dxa"/>
            <w:tcBorders>
              <w:top w:val="single" w:color="000000" w:themeColor="text1" w:sz="4" w:space="0"/>
              <w:bottom w:val="single" w:color="000000" w:themeColor="text1" w:sz="4" w:space="0"/>
            </w:tcBorders>
            <w:vAlign w:val="center"/>
          </w:tcPr>
          <w:p>
            <w:pPr>
              <w:spacing w:line="400" w:lineRule="exact"/>
              <w:jc w:val="center"/>
              <w:rPr>
                <w:rFonts w:ascii="宋体" w:hAnsi="宋体" w:eastAsia="宋体"/>
                <w:szCs w:val="21"/>
              </w:rPr>
            </w:pPr>
            <w:r>
              <w:rPr>
                <w:rFonts w:hint="eastAsia" w:ascii="宋体" w:hAnsi="宋体" w:eastAsia="宋体"/>
                <w:szCs w:val="21"/>
              </w:rPr>
              <w:t>准则层</w:t>
            </w:r>
          </w:p>
        </w:tc>
        <w:tc>
          <w:tcPr>
            <w:tcW w:w="4790" w:type="dxa"/>
            <w:tcBorders>
              <w:top w:val="single" w:color="000000" w:themeColor="text1" w:sz="4" w:space="0"/>
              <w:bottom w:val="single" w:color="000000" w:themeColor="text1" w:sz="4" w:space="0"/>
            </w:tcBorders>
            <w:vAlign w:val="center"/>
          </w:tcPr>
          <w:p>
            <w:pPr>
              <w:spacing w:line="400" w:lineRule="exact"/>
              <w:jc w:val="center"/>
              <w:rPr>
                <w:rFonts w:ascii="宋体" w:hAnsi="宋体" w:eastAsia="宋体"/>
                <w:szCs w:val="21"/>
              </w:rPr>
            </w:pPr>
            <w:r>
              <w:rPr>
                <w:rFonts w:hint="eastAsia" w:ascii="宋体" w:hAnsi="宋体" w:eastAsia="宋体"/>
                <w:szCs w:val="21"/>
              </w:rPr>
              <w:t>指标层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55" w:type="dxa"/>
            <w:vMerge w:val="restart"/>
            <w:tcBorders>
              <w:top w:val="single" w:color="000000" w:themeColor="text1" w:sz="4" w:space="0"/>
            </w:tcBorders>
            <w:vAlign w:val="center"/>
          </w:tcPr>
          <w:p>
            <w:pPr>
              <w:spacing w:line="400" w:lineRule="exact"/>
              <w:jc w:val="center"/>
              <w:rPr>
                <w:rFonts w:ascii="宋体" w:hAnsi="宋体" w:eastAsia="宋体"/>
                <w:szCs w:val="21"/>
              </w:rPr>
            </w:pPr>
            <w:r>
              <w:rPr>
                <w:rFonts w:hint="eastAsia" w:ascii="宋体" w:hAnsi="宋体" w:eastAsia="宋体"/>
                <w:szCs w:val="21"/>
              </w:rPr>
              <w:t>高校</w:t>
            </w:r>
            <w:r>
              <w:rPr>
                <w:rFonts w:ascii="宋体" w:hAnsi="宋体" w:eastAsia="宋体"/>
                <w:szCs w:val="21"/>
              </w:rPr>
              <w:t>资助</w:t>
            </w:r>
            <w:r>
              <w:rPr>
                <w:rFonts w:hint="eastAsia" w:ascii="宋体" w:hAnsi="宋体" w:eastAsia="宋体"/>
                <w:szCs w:val="21"/>
              </w:rPr>
              <w:t>育人</w:t>
            </w:r>
            <w:r>
              <w:rPr>
                <w:rFonts w:ascii="宋体" w:hAnsi="宋体" w:eastAsia="宋体"/>
                <w:szCs w:val="21"/>
              </w:rPr>
              <w:t>工作评价体系</w:t>
            </w:r>
            <w:r>
              <w:rPr>
                <w:rFonts w:ascii="Times New Roman" w:hAnsi="Times New Roman" w:eastAsia="宋体" w:cs="Times New Roman"/>
                <w:i/>
                <w:iCs/>
                <w:szCs w:val="21"/>
              </w:rPr>
              <w:t>A</w:t>
            </w:r>
          </w:p>
        </w:tc>
        <w:tc>
          <w:tcPr>
            <w:tcW w:w="1588" w:type="dxa"/>
            <w:vMerge w:val="restart"/>
            <w:tcBorders>
              <w:top w:val="single" w:color="000000" w:themeColor="text1" w:sz="4" w:space="0"/>
            </w:tcBorders>
            <w:vAlign w:val="center"/>
          </w:tcPr>
          <w:p>
            <w:pPr>
              <w:spacing w:line="400" w:lineRule="exact"/>
              <w:jc w:val="center"/>
              <w:rPr>
                <w:rFonts w:ascii="宋体" w:hAnsi="宋体" w:eastAsia="宋体"/>
                <w:szCs w:val="21"/>
              </w:rPr>
            </w:pPr>
            <w:r>
              <w:rPr>
                <w:rFonts w:hint="eastAsia" w:ascii="宋体" w:hAnsi="宋体" w:eastAsia="宋体"/>
                <w:szCs w:val="21"/>
              </w:rPr>
              <w:t>奖助资金发放的科学性</w:t>
            </w:r>
            <w:r>
              <w:rPr>
                <w:rFonts w:ascii="Times New Roman" w:hAnsi="Times New Roman" w:eastAsia="宋体" w:cs="Times New Roman"/>
                <w:i/>
                <w:iCs/>
                <w:szCs w:val="21"/>
              </w:rPr>
              <w:t>B</w:t>
            </w:r>
            <w:r>
              <w:rPr>
                <w:rFonts w:ascii="Times New Roman" w:hAnsi="Times New Roman" w:eastAsia="宋体" w:cs="Times New Roman"/>
                <w:i/>
                <w:iCs/>
                <w:szCs w:val="21"/>
                <w:vertAlign w:val="subscript"/>
              </w:rPr>
              <w:t>1</w:t>
            </w:r>
          </w:p>
        </w:tc>
        <w:tc>
          <w:tcPr>
            <w:tcW w:w="4790" w:type="dxa"/>
            <w:tcBorders>
              <w:top w:val="single" w:color="000000" w:themeColor="text1" w:sz="4" w:space="0"/>
            </w:tcBorders>
            <w:vAlign w:val="center"/>
          </w:tcPr>
          <w:p>
            <w:pPr>
              <w:spacing w:line="400" w:lineRule="exact"/>
              <w:jc w:val="left"/>
              <w:rPr>
                <w:rFonts w:ascii="宋体" w:hAnsi="宋体" w:eastAsia="宋体"/>
                <w:szCs w:val="21"/>
              </w:rPr>
            </w:pPr>
            <w:r>
              <w:rPr>
                <w:rFonts w:hint="eastAsia" w:ascii="宋体" w:hAnsi="宋体" w:eastAsia="宋体"/>
                <w:szCs w:val="21"/>
              </w:rPr>
              <w:t>家庭经济</w:t>
            </w:r>
            <w:r>
              <w:rPr>
                <w:rFonts w:ascii="宋体" w:hAnsi="宋体" w:eastAsia="宋体"/>
                <w:szCs w:val="21"/>
              </w:rPr>
              <w:t>困难学生</w:t>
            </w:r>
            <w:r>
              <w:rPr>
                <w:rFonts w:hint="eastAsia" w:ascii="宋体" w:hAnsi="宋体" w:eastAsia="宋体"/>
                <w:szCs w:val="21"/>
              </w:rPr>
              <w:t>认</w:t>
            </w:r>
            <w:r>
              <w:rPr>
                <w:rFonts w:ascii="宋体" w:hAnsi="宋体" w:eastAsia="宋体"/>
                <w:szCs w:val="21"/>
              </w:rPr>
              <w:t>定</w:t>
            </w:r>
            <w:r>
              <w:rPr>
                <w:rFonts w:hint="eastAsia" w:ascii="宋体" w:hAnsi="宋体" w:eastAsia="宋体"/>
                <w:szCs w:val="21"/>
              </w:rPr>
              <w:t>精确</w:t>
            </w:r>
            <w:r>
              <w:rPr>
                <w:rFonts w:ascii="Times New Roman" w:hAnsi="Times New Roman" w:eastAsia="宋体" w:cs="Times New Roman"/>
                <w:i/>
                <w:iCs/>
                <w:szCs w:val="21"/>
              </w:rPr>
              <w:t>C</w:t>
            </w:r>
            <w:r>
              <w:rPr>
                <w:rFonts w:ascii="Times New Roman" w:hAnsi="Times New Roman" w:eastAsia="宋体" w:cs="Times New Roman"/>
                <w:i/>
                <w:iCs/>
                <w:szCs w:val="21"/>
                <w:vertAlign w:val="subscript"/>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55" w:type="dxa"/>
            <w:vMerge w:val="continue"/>
            <w:vAlign w:val="center"/>
          </w:tcPr>
          <w:p>
            <w:pPr>
              <w:spacing w:line="400" w:lineRule="exact"/>
              <w:jc w:val="center"/>
              <w:rPr>
                <w:rFonts w:ascii="宋体" w:hAnsi="宋体" w:eastAsia="宋体"/>
                <w:szCs w:val="21"/>
              </w:rPr>
            </w:pPr>
          </w:p>
        </w:tc>
        <w:tc>
          <w:tcPr>
            <w:tcW w:w="1588" w:type="dxa"/>
            <w:vMerge w:val="continue"/>
            <w:vAlign w:val="center"/>
          </w:tcPr>
          <w:p>
            <w:pPr>
              <w:spacing w:line="400" w:lineRule="exact"/>
              <w:jc w:val="center"/>
              <w:rPr>
                <w:rFonts w:ascii="宋体" w:hAnsi="宋体" w:eastAsia="宋体"/>
                <w:szCs w:val="21"/>
              </w:rPr>
            </w:pPr>
          </w:p>
        </w:tc>
        <w:tc>
          <w:tcPr>
            <w:tcW w:w="4790" w:type="dxa"/>
            <w:vAlign w:val="center"/>
          </w:tcPr>
          <w:p>
            <w:pPr>
              <w:spacing w:line="400" w:lineRule="exact"/>
              <w:jc w:val="left"/>
              <w:rPr>
                <w:rFonts w:ascii="宋体" w:hAnsi="宋体" w:eastAsia="宋体"/>
                <w:szCs w:val="21"/>
              </w:rPr>
            </w:pPr>
            <w:r>
              <w:rPr>
                <w:rFonts w:hint="eastAsia" w:ascii="宋体" w:hAnsi="宋体" w:eastAsia="宋体"/>
                <w:szCs w:val="21"/>
              </w:rPr>
              <w:t>认定过程</w:t>
            </w:r>
            <w:r>
              <w:rPr>
                <w:rFonts w:ascii="宋体" w:hAnsi="宋体" w:eastAsia="宋体"/>
                <w:szCs w:val="21"/>
              </w:rPr>
              <w:t>注意保护学生隐私</w:t>
            </w:r>
            <w:r>
              <w:rPr>
                <w:rFonts w:ascii="Times New Roman" w:hAnsi="Times New Roman" w:eastAsia="宋体" w:cs="Times New Roman"/>
                <w:i/>
                <w:iCs/>
                <w:szCs w:val="21"/>
              </w:rPr>
              <w:t>C</w:t>
            </w:r>
            <w:r>
              <w:rPr>
                <w:rFonts w:ascii="Times New Roman" w:hAnsi="Times New Roman" w:eastAsia="宋体" w:cs="Times New Roman"/>
                <w:i/>
                <w:iCs/>
                <w:szCs w:val="21"/>
                <w:vertAlign w:val="subscript"/>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55" w:type="dxa"/>
            <w:vMerge w:val="continue"/>
            <w:vAlign w:val="center"/>
          </w:tcPr>
          <w:p>
            <w:pPr>
              <w:spacing w:line="400" w:lineRule="exact"/>
              <w:jc w:val="center"/>
              <w:rPr>
                <w:rFonts w:ascii="宋体" w:hAnsi="宋体" w:eastAsia="宋体"/>
                <w:szCs w:val="21"/>
              </w:rPr>
            </w:pPr>
          </w:p>
        </w:tc>
        <w:tc>
          <w:tcPr>
            <w:tcW w:w="1588" w:type="dxa"/>
            <w:vMerge w:val="continue"/>
            <w:vAlign w:val="center"/>
          </w:tcPr>
          <w:p>
            <w:pPr>
              <w:spacing w:line="400" w:lineRule="exact"/>
              <w:jc w:val="center"/>
              <w:rPr>
                <w:rFonts w:ascii="宋体" w:hAnsi="宋体" w:eastAsia="宋体"/>
                <w:szCs w:val="21"/>
              </w:rPr>
            </w:pPr>
          </w:p>
        </w:tc>
        <w:tc>
          <w:tcPr>
            <w:tcW w:w="4790" w:type="dxa"/>
            <w:vAlign w:val="center"/>
          </w:tcPr>
          <w:p>
            <w:pPr>
              <w:spacing w:line="400" w:lineRule="exact"/>
              <w:jc w:val="left"/>
              <w:rPr>
                <w:rFonts w:ascii="宋体" w:hAnsi="宋体" w:eastAsia="宋体"/>
                <w:szCs w:val="21"/>
              </w:rPr>
            </w:pPr>
            <w:r>
              <w:rPr>
                <w:rFonts w:hint="eastAsia" w:ascii="宋体" w:hAnsi="宋体" w:eastAsia="宋体"/>
                <w:szCs w:val="21"/>
              </w:rPr>
              <w:t>各类奖</w:t>
            </w:r>
            <w:r>
              <w:rPr>
                <w:rFonts w:ascii="宋体" w:hAnsi="宋体" w:eastAsia="宋体"/>
                <w:szCs w:val="21"/>
              </w:rPr>
              <w:t>助资金发放及时</w:t>
            </w:r>
            <w:r>
              <w:rPr>
                <w:rFonts w:ascii="Times New Roman" w:hAnsi="Times New Roman" w:eastAsia="宋体" w:cs="Times New Roman"/>
                <w:i/>
                <w:iCs/>
                <w:szCs w:val="21"/>
              </w:rPr>
              <w:t>C</w:t>
            </w:r>
            <w:r>
              <w:rPr>
                <w:rFonts w:ascii="Times New Roman" w:hAnsi="Times New Roman" w:eastAsia="宋体" w:cs="Times New Roman"/>
                <w:i/>
                <w:iCs/>
                <w:szCs w:val="21"/>
                <w:vertAlign w:val="subscript"/>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55" w:type="dxa"/>
            <w:vMerge w:val="continue"/>
            <w:vAlign w:val="center"/>
          </w:tcPr>
          <w:p>
            <w:pPr>
              <w:spacing w:line="400" w:lineRule="exact"/>
              <w:jc w:val="center"/>
              <w:rPr>
                <w:rFonts w:ascii="宋体" w:hAnsi="宋体" w:eastAsia="宋体"/>
                <w:szCs w:val="21"/>
              </w:rPr>
            </w:pPr>
          </w:p>
        </w:tc>
        <w:tc>
          <w:tcPr>
            <w:tcW w:w="1588" w:type="dxa"/>
            <w:vMerge w:val="continue"/>
            <w:vAlign w:val="center"/>
          </w:tcPr>
          <w:p>
            <w:pPr>
              <w:spacing w:line="400" w:lineRule="exact"/>
              <w:jc w:val="center"/>
              <w:rPr>
                <w:rFonts w:ascii="宋体" w:hAnsi="宋体" w:eastAsia="宋体"/>
                <w:szCs w:val="21"/>
              </w:rPr>
            </w:pPr>
          </w:p>
        </w:tc>
        <w:tc>
          <w:tcPr>
            <w:tcW w:w="4790" w:type="dxa"/>
            <w:vAlign w:val="center"/>
          </w:tcPr>
          <w:p>
            <w:pPr>
              <w:spacing w:line="400" w:lineRule="exact"/>
              <w:jc w:val="left"/>
              <w:rPr>
                <w:rFonts w:ascii="宋体" w:hAnsi="宋体" w:eastAsia="宋体"/>
                <w:szCs w:val="21"/>
              </w:rPr>
            </w:pPr>
            <w:r>
              <w:rPr>
                <w:rFonts w:hint="eastAsia" w:ascii="宋体" w:hAnsi="宋体" w:eastAsia="宋体"/>
                <w:szCs w:val="21"/>
              </w:rPr>
              <w:t>资助金</w:t>
            </w:r>
            <w:r>
              <w:rPr>
                <w:rFonts w:ascii="宋体" w:hAnsi="宋体" w:eastAsia="宋体"/>
                <w:szCs w:val="21"/>
              </w:rPr>
              <w:t>可以满足学生基本</w:t>
            </w:r>
            <w:r>
              <w:rPr>
                <w:rFonts w:hint="eastAsia" w:ascii="宋体" w:hAnsi="宋体" w:eastAsia="宋体"/>
                <w:szCs w:val="21"/>
              </w:rPr>
              <w:t>生活</w:t>
            </w:r>
            <w:r>
              <w:rPr>
                <w:rFonts w:ascii="宋体" w:hAnsi="宋体" w:eastAsia="宋体"/>
                <w:szCs w:val="21"/>
              </w:rPr>
              <w:t>需要</w:t>
            </w:r>
            <w:r>
              <w:rPr>
                <w:rFonts w:ascii="Times New Roman" w:hAnsi="Times New Roman" w:eastAsia="宋体" w:cs="Times New Roman"/>
                <w:i/>
                <w:iCs/>
                <w:szCs w:val="21"/>
              </w:rPr>
              <w:t>C</w:t>
            </w:r>
            <w:r>
              <w:rPr>
                <w:rFonts w:ascii="Times New Roman" w:hAnsi="Times New Roman" w:eastAsia="宋体" w:cs="Times New Roman"/>
                <w:i/>
                <w:iCs/>
                <w:szCs w:val="21"/>
                <w:vertAlign w:val="subscript"/>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55" w:type="dxa"/>
            <w:vMerge w:val="continue"/>
            <w:vAlign w:val="center"/>
          </w:tcPr>
          <w:p>
            <w:pPr>
              <w:spacing w:line="400" w:lineRule="exact"/>
              <w:jc w:val="center"/>
              <w:rPr>
                <w:rFonts w:ascii="宋体" w:hAnsi="宋体" w:eastAsia="宋体"/>
                <w:szCs w:val="21"/>
              </w:rPr>
            </w:pPr>
          </w:p>
        </w:tc>
        <w:tc>
          <w:tcPr>
            <w:tcW w:w="1588" w:type="dxa"/>
            <w:vMerge w:val="restart"/>
            <w:vAlign w:val="center"/>
          </w:tcPr>
          <w:p>
            <w:pPr>
              <w:spacing w:line="400" w:lineRule="exact"/>
              <w:jc w:val="center"/>
              <w:rPr>
                <w:rFonts w:ascii="宋体" w:hAnsi="宋体" w:eastAsia="宋体"/>
                <w:szCs w:val="21"/>
              </w:rPr>
            </w:pPr>
            <w:r>
              <w:rPr>
                <w:rFonts w:hint="eastAsia" w:ascii="宋体" w:hAnsi="宋体" w:eastAsia="宋体"/>
                <w:szCs w:val="21"/>
              </w:rPr>
              <w:t>育人措施的有效性</w:t>
            </w:r>
            <w:r>
              <w:rPr>
                <w:rFonts w:ascii="Times New Roman" w:hAnsi="Times New Roman" w:eastAsia="宋体" w:cs="Times New Roman"/>
                <w:i/>
                <w:iCs/>
                <w:szCs w:val="21"/>
              </w:rPr>
              <w:t>B</w:t>
            </w:r>
            <w:r>
              <w:rPr>
                <w:rFonts w:ascii="Times New Roman" w:hAnsi="Times New Roman" w:eastAsia="宋体" w:cs="Times New Roman"/>
                <w:i/>
                <w:iCs/>
                <w:szCs w:val="21"/>
                <w:vertAlign w:val="subscript"/>
              </w:rPr>
              <w:t>2</w:t>
            </w:r>
          </w:p>
        </w:tc>
        <w:tc>
          <w:tcPr>
            <w:tcW w:w="4790" w:type="dxa"/>
            <w:vAlign w:val="center"/>
          </w:tcPr>
          <w:p>
            <w:pPr>
              <w:spacing w:line="400" w:lineRule="exact"/>
              <w:jc w:val="left"/>
              <w:rPr>
                <w:rFonts w:ascii="宋体" w:hAnsi="宋体" w:eastAsia="宋体"/>
                <w:szCs w:val="21"/>
              </w:rPr>
            </w:pPr>
            <w:r>
              <w:rPr>
                <w:rFonts w:hint="eastAsia" w:ascii="宋体" w:hAnsi="宋体" w:eastAsia="宋体"/>
                <w:szCs w:val="21"/>
              </w:rPr>
              <w:t>各类育人</w:t>
            </w:r>
            <w:r>
              <w:rPr>
                <w:rFonts w:ascii="宋体" w:hAnsi="宋体" w:eastAsia="宋体"/>
                <w:szCs w:val="21"/>
              </w:rPr>
              <w:t>活动</w:t>
            </w:r>
            <w:r>
              <w:rPr>
                <w:rFonts w:hint="eastAsia" w:ascii="宋体" w:hAnsi="宋体" w:eastAsia="宋体"/>
                <w:szCs w:val="21"/>
              </w:rPr>
              <w:t>丰富多样</w:t>
            </w:r>
            <w:r>
              <w:rPr>
                <w:rFonts w:ascii="Times New Roman" w:hAnsi="Times New Roman" w:eastAsia="宋体" w:cs="Times New Roman"/>
                <w:i/>
                <w:iCs/>
                <w:szCs w:val="21"/>
              </w:rPr>
              <w:t>C</w:t>
            </w:r>
            <w:r>
              <w:rPr>
                <w:rFonts w:ascii="Times New Roman" w:hAnsi="Times New Roman" w:eastAsia="宋体" w:cs="Times New Roman"/>
                <w:i/>
                <w:iCs/>
                <w:szCs w:val="21"/>
                <w:vertAlign w:val="subscript"/>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55" w:type="dxa"/>
            <w:vMerge w:val="continue"/>
            <w:vAlign w:val="center"/>
          </w:tcPr>
          <w:p>
            <w:pPr>
              <w:spacing w:line="400" w:lineRule="exact"/>
              <w:jc w:val="center"/>
              <w:rPr>
                <w:rFonts w:ascii="宋体" w:hAnsi="宋体" w:eastAsia="宋体"/>
                <w:szCs w:val="21"/>
              </w:rPr>
            </w:pPr>
          </w:p>
        </w:tc>
        <w:tc>
          <w:tcPr>
            <w:tcW w:w="1588" w:type="dxa"/>
            <w:vMerge w:val="continue"/>
            <w:vAlign w:val="center"/>
          </w:tcPr>
          <w:p>
            <w:pPr>
              <w:spacing w:line="400" w:lineRule="exact"/>
              <w:jc w:val="center"/>
              <w:rPr>
                <w:rFonts w:ascii="宋体" w:hAnsi="宋体" w:eastAsia="宋体"/>
                <w:szCs w:val="21"/>
              </w:rPr>
            </w:pPr>
          </w:p>
        </w:tc>
        <w:tc>
          <w:tcPr>
            <w:tcW w:w="4790" w:type="dxa"/>
            <w:vAlign w:val="center"/>
          </w:tcPr>
          <w:p>
            <w:pPr>
              <w:spacing w:line="400" w:lineRule="exact"/>
              <w:jc w:val="left"/>
              <w:rPr>
                <w:rFonts w:ascii="宋体" w:hAnsi="宋体" w:eastAsia="宋体"/>
                <w:szCs w:val="21"/>
              </w:rPr>
            </w:pPr>
            <w:r>
              <w:rPr>
                <w:rFonts w:hint="eastAsia" w:ascii="宋体" w:hAnsi="宋体" w:eastAsia="宋体"/>
                <w:szCs w:val="21"/>
              </w:rPr>
              <w:t>各类</w:t>
            </w:r>
            <w:r>
              <w:rPr>
                <w:rFonts w:ascii="宋体" w:hAnsi="宋体" w:eastAsia="宋体"/>
                <w:szCs w:val="21"/>
              </w:rPr>
              <w:t>育人活动具有</w:t>
            </w:r>
            <w:r>
              <w:rPr>
                <w:rFonts w:hint="eastAsia" w:ascii="宋体" w:hAnsi="宋体" w:eastAsia="宋体"/>
                <w:szCs w:val="21"/>
              </w:rPr>
              <w:t>创新性</w:t>
            </w:r>
            <w:r>
              <w:rPr>
                <w:rFonts w:ascii="宋体" w:hAnsi="宋体" w:eastAsia="宋体"/>
                <w:szCs w:val="21"/>
              </w:rPr>
              <w:t>和吸引力</w:t>
            </w:r>
            <w:r>
              <w:rPr>
                <w:rFonts w:ascii="Times New Roman" w:hAnsi="Times New Roman" w:eastAsia="宋体" w:cs="Times New Roman"/>
                <w:i/>
                <w:iCs/>
                <w:szCs w:val="21"/>
              </w:rPr>
              <w:t>C</w:t>
            </w:r>
            <w:r>
              <w:rPr>
                <w:rFonts w:ascii="Times New Roman" w:hAnsi="Times New Roman" w:eastAsia="宋体" w:cs="Times New Roman"/>
                <w:i/>
                <w:iCs/>
                <w:szCs w:val="21"/>
                <w:vertAlign w:val="subscript"/>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55" w:type="dxa"/>
            <w:vMerge w:val="continue"/>
            <w:vAlign w:val="center"/>
          </w:tcPr>
          <w:p>
            <w:pPr>
              <w:spacing w:line="400" w:lineRule="exact"/>
              <w:jc w:val="center"/>
              <w:rPr>
                <w:rFonts w:ascii="宋体" w:hAnsi="宋体" w:eastAsia="宋体"/>
                <w:szCs w:val="21"/>
              </w:rPr>
            </w:pPr>
          </w:p>
        </w:tc>
        <w:tc>
          <w:tcPr>
            <w:tcW w:w="1588" w:type="dxa"/>
            <w:vMerge w:val="continue"/>
            <w:vAlign w:val="center"/>
          </w:tcPr>
          <w:p>
            <w:pPr>
              <w:spacing w:line="400" w:lineRule="exact"/>
              <w:jc w:val="center"/>
              <w:rPr>
                <w:rFonts w:ascii="宋体" w:hAnsi="宋体" w:eastAsia="宋体"/>
                <w:szCs w:val="21"/>
              </w:rPr>
            </w:pPr>
          </w:p>
        </w:tc>
        <w:tc>
          <w:tcPr>
            <w:tcW w:w="4790" w:type="dxa"/>
            <w:vAlign w:val="center"/>
          </w:tcPr>
          <w:p>
            <w:pPr>
              <w:spacing w:line="400" w:lineRule="exact"/>
              <w:jc w:val="left"/>
              <w:rPr>
                <w:rFonts w:ascii="宋体" w:hAnsi="宋体" w:eastAsia="宋体"/>
                <w:szCs w:val="21"/>
              </w:rPr>
            </w:pPr>
            <w:r>
              <w:rPr>
                <w:rFonts w:hint="eastAsia" w:ascii="宋体" w:hAnsi="宋体" w:eastAsia="宋体"/>
                <w:szCs w:val="21"/>
              </w:rPr>
              <w:t>育人</w:t>
            </w:r>
            <w:r>
              <w:rPr>
                <w:rFonts w:ascii="宋体" w:hAnsi="宋体" w:eastAsia="宋体"/>
                <w:szCs w:val="21"/>
              </w:rPr>
              <w:t>过程注重心理关怀</w:t>
            </w:r>
            <w:r>
              <w:rPr>
                <w:rFonts w:ascii="Times New Roman" w:hAnsi="Times New Roman" w:eastAsia="宋体" w:cs="Times New Roman"/>
                <w:i/>
                <w:iCs/>
                <w:szCs w:val="21"/>
              </w:rPr>
              <w:t>C</w:t>
            </w:r>
            <w:r>
              <w:rPr>
                <w:rFonts w:ascii="Times New Roman" w:hAnsi="Times New Roman" w:eastAsia="宋体" w:cs="Times New Roman"/>
                <w:i/>
                <w:iCs/>
                <w:szCs w:val="21"/>
                <w:vertAlign w:val="subscript"/>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55" w:type="dxa"/>
            <w:vMerge w:val="continue"/>
            <w:vAlign w:val="center"/>
          </w:tcPr>
          <w:p>
            <w:pPr>
              <w:spacing w:line="400" w:lineRule="exact"/>
              <w:jc w:val="center"/>
              <w:rPr>
                <w:rFonts w:ascii="宋体" w:hAnsi="宋体" w:eastAsia="宋体"/>
                <w:szCs w:val="21"/>
              </w:rPr>
            </w:pPr>
          </w:p>
        </w:tc>
        <w:tc>
          <w:tcPr>
            <w:tcW w:w="1588" w:type="dxa"/>
            <w:vMerge w:val="continue"/>
            <w:vAlign w:val="center"/>
          </w:tcPr>
          <w:p>
            <w:pPr>
              <w:spacing w:line="400" w:lineRule="exact"/>
              <w:jc w:val="center"/>
              <w:rPr>
                <w:rFonts w:ascii="宋体" w:hAnsi="宋体" w:eastAsia="宋体"/>
                <w:szCs w:val="21"/>
              </w:rPr>
            </w:pPr>
          </w:p>
        </w:tc>
        <w:tc>
          <w:tcPr>
            <w:tcW w:w="4790" w:type="dxa"/>
            <w:vAlign w:val="center"/>
          </w:tcPr>
          <w:p>
            <w:pPr>
              <w:spacing w:line="400" w:lineRule="exact"/>
              <w:jc w:val="left"/>
              <w:rPr>
                <w:rFonts w:ascii="宋体" w:hAnsi="宋体" w:eastAsia="宋体"/>
                <w:szCs w:val="21"/>
              </w:rPr>
            </w:pPr>
            <w:r>
              <w:rPr>
                <w:rFonts w:hint="eastAsia" w:ascii="宋体" w:hAnsi="宋体" w:eastAsia="宋体"/>
                <w:szCs w:val="21"/>
              </w:rPr>
              <w:t>育人措施</w:t>
            </w:r>
            <w:r>
              <w:rPr>
                <w:rFonts w:ascii="宋体" w:hAnsi="宋体" w:eastAsia="宋体"/>
                <w:szCs w:val="21"/>
              </w:rPr>
              <w:t>关注学生学业和就业能力提升</w:t>
            </w:r>
            <w:r>
              <w:rPr>
                <w:rFonts w:ascii="Times New Roman" w:hAnsi="Times New Roman" w:eastAsia="宋体" w:cs="Times New Roman"/>
                <w:i/>
                <w:iCs/>
                <w:szCs w:val="21"/>
              </w:rPr>
              <w:t>C</w:t>
            </w:r>
            <w:r>
              <w:rPr>
                <w:rFonts w:ascii="Times New Roman" w:hAnsi="Times New Roman" w:eastAsia="宋体" w:cs="Times New Roman"/>
                <w:i/>
                <w:iCs/>
                <w:szCs w:val="21"/>
                <w:vertAlign w:val="subscript"/>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55" w:type="dxa"/>
            <w:vMerge w:val="continue"/>
            <w:vAlign w:val="center"/>
          </w:tcPr>
          <w:p>
            <w:pPr>
              <w:spacing w:line="400" w:lineRule="exact"/>
              <w:jc w:val="center"/>
              <w:rPr>
                <w:rFonts w:ascii="宋体" w:hAnsi="宋体" w:eastAsia="宋体"/>
                <w:szCs w:val="21"/>
              </w:rPr>
            </w:pPr>
          </w:p>
        </w:tc>
        <w:tc>
          <w:tcPr>
            <w:tcW w:w="1588" w:type="dxa"/>
            <w:vMerge w:val="continue"/>
            <w:vAlign w:val="center"/>
          </w:tcPr>
          <w:p>
            <w:pPr>
              <w:spacing w:line="400" w:lineRule="exact"/>
              <w:jc w:val="center"/>
              <w:rPr>
                <w:rFonts w:ascii="宋体" w:hAnsi="宋体" w:eastAsia="宋体"/>
                <w:szCs w:val="21"/>
              </w:rPr>
            </w:pPr>
          </w:p>
        </w:tc>
        <w:tc>
          <w:tcPr>
            <w:tcW w:w="4790" w:type="dxa"/>
            <w:vAlign w:val="center"/>
          </w:tcPr>
          <w:p>
            <w:pPr>
              <w:spacing w:line="400" w:lineRule="exact"/>
              <w:jc w:val="left"/>
              <w:rPr>
                <w:rFonts w:ascii="宋体" w:hAnsi="宋体" w:eastAsia="宋体"/>
                <w:szCs w:val="21"/>
              </w:rPr>
            </w:pPr>
            <w:r>
              <w:rPr>
                <w:rFonts w:hint="eastAsia" w:ascii="宋体" w:hAnsi="宋体" w:eastAsia="宋体"/>
                <w:szCs w:val="21"/>
              </w:rPr>
              <w:t>育人</w:t>
            </w:r>
            <w:r>
              <w:rPr>
                <w:rFonts w:ascii="宋体" w:hAnsi="宋体" w:eastAsia="宋体"/>
                <w:szCs w:val="21"/>
              </w:rPr>
              <w:t>过程注重诚信教育</w:t>
            </w:r>
            <w:r>
              <w:rPr>
                <w:rFonts w:ascii="Times New Roman" w:hAnsi="Times New Roman" w:eastAsia="宋体" w:cs="Times New Roman"/>
                <w:i/>
                <w:iCs/>
                <w:szCs w:val="21"/>
              </w:rPr>
              <w:t>C</w:t>
            </w:r>
            <w:r>
              <w:rPr>
                <w:rFonts w:ascii="Times New Roman" w:hAnsi="Times New Roman" w:eastAsia="宋体" w:cs="Times New Roman"/>
                <w:i/>
                <w:iCs/>
                <w:szCs w:val="21"/>
                <w:vertAlign w:val="subscript"/>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55" w:type="dxa"/>
            <w:vMerge w:val="continue"/>
            <w:vAlign w:val="center"/>
          </w:tcPr>
          <w:p>
            <w:pPr>
              <w:spacing w:line="400" w:lineRule="exact"/>
              <w:jc w:val="center"/>
              <w:rPr>
                <w:rFonts w:ascii="宋体" w:hAnsi="宋体" w:eastAsia="宋体"/>
                <w:szCs w:val="21"/>
              </w:rPr>
            </w:pPr>
          </w:p>
        </w:tc>
        <w:tc>
          <w:tcPr>
            <w:tcW w:w="1588" w:type="dxa"/>
            <w:vMerge w:val="continue"/>
            <w:vAlign w:val="center"/>
          </w:tcPr>
          <w:p>
            <w:pPr>
              <w:spacing w:line="400" w:lineRule="exact"/>
              <w:jc w:val="center"/>
              <w:rPr>
                <w:rFonts w:ascii="宋体" w:hAnsi="宋体" w:eastAsia="宋体"/>
                <w:szCs w:val="21"/>
              </w:rPr>
            </w:pPr>
          </w:p>
        </w:tc>
        <w:tc>
          <w:tcPr>
            <w:tcW w:w="4790" w:type="dxa"/>
            <w:vAlign w:val="center"/>
          </w:tcPr>
          <w:p>
            <w:pPr>
              <w:spacing w:line="400" w:lineRule="exact"/>
              <w:jc w:val="left"/>
              <w:rPr>
                <w:rFonts w:ascii="宋体" w:hAnsi="宋体" w:eastAsia="宋体"/>
                <w:szCs w:val="21"/>
              </w:rPr>
            </w:pPr>
            <w:r>
              <w:rPr>
                <w:rFonts w:hint="eastAsia" w:ascii="宋体" w:hAnsi="宋体" w:eastAsia="宋体"/>
                <w:szCs w:val="21"/>
              </w:rPr>
              <w:t>组织</w:t>
            </w:r>
            <w:r>
              <w:rPr>
                <w:rFonts w:ascii="宋体" w:hAnsi="宋体" w:eastAsia="宋体"/>
                <w:szCs w:val="21"/>
              </w:rPr>
              <w:t>受助学生开展公益活动</w:t>
            </w:r>
            <w:r>
              <w:rPr>
                <w:rFonts w:ascii="Times New Roman" w:hAnsi="Times New Roman" w:eastAsia="宋体" w:cs="Times New Roman"/>
                <w:i/>
                <w:iCs/>
                <w:szCs w:val="21"/>
              </w:rPr>
              <w:t>C</w:t>
            </w:r>
            <w:r>
              <w:rPr>
                <w:rFonts w:ascii="Times New Roman" w:hAnsi="Times New Roman" w:eastAsia="宋体" w:cs="Times New Roman"/>
                <w:i/>
                <w:iCs/>
                <w:szCs w:val="21"/>
                <w:vertAlign w:val="subscript"/>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55" w:type="dxa"/>
            <w:vMerge w:val="continue"/>
            <w:vAlign w:val="center"/>
          </w:tcPr>
          <w:p>
            <w:pPr>
              <w:spacing w:line="400" w:lineRule="exact"/>
              <w:jc w:val="center"/>
              <w:rPr>
                <w:rFonts w:ascii="宋体" w:hAnsi="宋体" w:eastAsia="宋体"/>
                <w:szCs w:val="21"/>
              </w:rPr>
            </w:pPr>
          </w:p>
        </w:tc>
        <w:tc>
          <w:tcPr>
            <w:tcW w:w="1588" w:type="dxa"/>
            <w:vMerge w:val="restart"/>
            <w:vAlign w:val="center"/>
          </w:tcPr>
          <w:p>
            <w:pPr>
              <w:spacing w:line="400" w:lineRule="exact"/>
              <w:jc w:val="center"/>
              <w:rPr>
                <w:rFonts w:ascii="宋体" w:hAnsi="宋体" w:eastAsia="宋体"/>
                <w:szCs w:val="21"/>
              </w:rPr>
            </w:pPr>
            <w:r>
              <w:rPr>
                <w:rFonts w:hint="eastAsia" w:ascii="宋体" w:hAnsi="宋体" w:eastAsia="宋体"/>
                <w:szCs w:val="21"/>
              </w:rPr>
              <w:t>资助工作人员的专业性</w:t>
            </w:r>
            <w:r>
              <w:rPr>
                <w:rFonts w:ascii="Times New Roman" w:hAnsi="Times New Roman" w:eastAsia="宋体" w:cs="Times New Roman"/>
                <w:i/>
                <w:iCs/>
                <w:szCs w:val="21"/>
              </w:rPr>
              <w:t>B</w:t>
            </w:r>
            <w:r>
              <w:rPr>
                <w:rFonts w:ascii="Times New Roman" w:hAnsi="Times New Roman" w:eastAsia="宋体" w:cs="Times New Roman"/>
                <w:i/>
                <w:iCs/>
                <w:szCs w:val="21"/>
                <w:vertAlign w:val="subscript"/>
              </w:rPr>
              <w:t>3</w:t>
            </w:r>
          </w:p>
        </w:tc>
        <w:tc>
          <w:tcPr>
            <w:tcW w:w="4790" w:type="dxa"/>
            <w:vAlign w:val="center"/>
          </w:tcPr>
          <w:p>
            <w:pPr>
              <w:spacing w:line="400" w:lineRule="exact"/>
              <w:jc w:val="left"/>
              <w:rPr>
                <w:rFonts w:ascii="宋体" w:hAnsi="宋体" w:eastAsia="宋体"/>
                <w:szCs w:val="21"/>
              </w:rPr>
            </w:pPr>
            <w:r>
              <w:rPr>
                <w:rFonts w:hint="eastAsia" w:ascii="宋体" w:hAnsi="宋体" w:eastAsia="宋体"/>
                <w:szCs w:val="21"/>
              </w:rPr>
              <w:t>有专人</w:t>
            </w:r>
            <w:r>
              <w:rPr>
                <w:rFonts w:ascii="宋体" w:hAnsi="宋体" w:eastAsia="宋体"/>
                <w:szCs w:val="21"/>
              </w:rPr>
              <w:t>负责资助育人工作</w:t>
            </w:r>
            <w:r>
              <w:rPr>
                <w:rFonts w:ascii="Times New Roman" w:hAnsi="Times New Roman" w:eastAsia="宋体" w:cs="Times New Roman"/>
                <w:i/>
                <w:iCs/>
                <w:szCs w:val="21"/>
              </w:rPr>
              <w:t>C</w:t>
            </w:r>
            <w:r>
              <w:rPr>
                <w:rFonts w:ascii="Times New Roman" w:hAnsi="Times New Roman" w:eastAsia="宋体" w:cs="Times New Roman"/>
                <w:i/>
                <w:iCs/>
                <w:szCs w:val="21"/>
                <w:vertAlign w:val="subscript"/>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55" w:type="dxa"/>
            <w:vMerge w:val="continue"/>
            <w:vAlign w:val="center"/>
          </w:tcPr>
          <w:p>
            <w:pPr>
              <w:spacing w:line="400" w:lineRule="exact"/>
              <w:jc w:val="center"/>
              <w:rPr>
                <w:rFonts w:ascii="宋体" w:hAnsi="宋体" w:eastAsia="宋体"/>
                <w:szCs w:val="21"/>
              </w:rPr>
            </w:pPr>
          </w:p>
        </w:tc>
        <w:tc>
          <w:tcPr>
            <w:tcW w:w="1588" w:type="dxa"/>
            <w:vMerge w:val="continue"/>
            <w:vAlign w:val="center"/>
          </w:tcPr>
          <w:p>
            <w:pPr>
              <w:spacing w:line="400" w:lineRule="exact"/>
              <w:jc w:val="center"/>
              <w:rPr>
                <w:rFonts w:ascii="宋体" w:hAnsi="宋体" w:eastAsia="宋体"/>
                <w:szCs w:val="21"/>
              </w:rPr>
            </w:pPr>
          </w:p>
        </w:tc>
        <w:tc>
          <w:tcPr>
            <w:tcW w:w="4790" w:type="dxa"/>
            <w:vAlign w:val="center"/>
          </w:tcPr>
          <w:p>
            <w:pPr>
              <w:spacing w:line="400" w:lineRule="exact"/>
              <w:jc w:val="left"/>
              <w:rPr>
                <w:rFonts w:ascii="宋体" w:hAnsi="宋体" w:eastAsia="宋体"/>
                <w:szCs w:val="21"/>
              </w:rPr>
            </w:pPr>
            <w:r>
              <w:rPr>
                <w:rFonts w:hint="eastAsia" w:ascii="宋体" w:hAnsi="宋体" w:eastAsia="宋体"/>
                <w:szCs w:val="21"/>
              </w:rPr>
              <w:t>资助</w:t>
            </w:r>
            <w:r>
              <w:rPr>
                <w:rFonts w:ascii="宋体" w:hAnsi="宋体" w:eastAsia="宋体"/>
                <w:szCs w:val="21"/>
              </w:rPr>
              <w:t>工作人员与学生接触密切</w:t>
            </w:r>
            <w:r>
              <w:rPr>
                <w:rFonts w:hint="eastAsia" w:ascii="宋体" w:hAnsi="宋体" w:eastAsia="宋体"/>
                <w:i/>
                <w:iCs/>
                <w:szCs w:val="21"/>
              </w:rPr>
              <w:t>C</w:t>
            </w:r>
            <w:r>
              <w:rPr>
                <w:rFonts w:ascii="Times New Roman" w:hAnsi="Times New Roman" w:eastAsia="宋体" w:cs="Times New Roman"/>
                <w:i/>
                <w:iCs/>
                <w:szCs w:val="21"/>
                <w:vertAlign w:val="subscript"/>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55" w:type="dxa"/>
            <w:vMerge w:val="continue"/>
            <w:vAlign w:val="center"/>
          </w:tcPr>
          <w:p>
            <w:pPr>
              <w:spacing w:line="400" w:lineRule="exact"/>
              <w:jc w:val="center"/>
              <w:rPr>
                <w:rFonts w:ascii="宋体" w:hAnsi="宋体" w:eastAsia="宋体"/>
                <w:szCs w:val="21"/>
              </w:rPr>
            </w:pPr>
          </w:p>
        </w:tc>
        <w:tc>
          <w:tcPr>
            <w:tcW w:w="1588" w:type="dxa"/>
            <w:vMerge w:val="continue"/>
            <w:vAlign w:val="center"/>
          </w:tcPr>
          <w:p>
            <w:pPr>
              <w:spacing w:line="400" w:lineRule="exact"/>
              <w:jc w:val="center"/>
              <w:rPr>
                <w:rFonts w:ascii="宋体" w:hAnsi="宋体" w:eastAsia="宋体"/>
                <w:szCs w:val="21"/>
              </w:rPr>
            </w:pPr>
          </w:p>
        </w:tc>
        <w:tc>
          <w:tcPr>
            <w:tcW w:w="4790" w:type="dxa"/>
            <w:vAlign w:val="center"/>
          </w:tcPr>
          <w:p>
            <w:pPr>
              <w:spacing w:line="400" w:lineRule="exact"/>
              <w:jc w:val="left"/>
              <w:rPr>
                <w:rFonts w:ascii="宋体" w:hAnsi="宋体" w:eastAsia="宋体"/>
                <w:szCs w:val="21"/>
              </w:rPr>
            </w:pPr>
            <w:r>
              <w:rPr>
                <w:rFonts w:hint="eastAsia" w:ascii="宋体" w:hAnsi="宋体" w:eastAsia="宋体"/>
                <w:szCs w:val="21"/>
              </w:rPr>
              <w:t>资助</w:t>
            </w:r>
            <w:r>
              <w:rPr>
                <w:rFonts w:ascii="宋体" w:hAnsi="宋体" w:eastAsia="宋体"/>
                <w:szCs w:val="21"/>
              </w:rPr>
              <w:t>工作人员具有</w:t>
            </w:r>
            <w:r>
              <w:rPr>
                <w:rFonts w:hint="eastAsia" w:ascii="宋体" w:hAnsi="宋体" w:eastAsia="宋体"/>
                <w:szCs w:val="21"/>
              </w:rPr>
              <w:t>丰富</w:t>
            </w:r>
            <w:r>
              <w:rPr>
                <w:rFonts w:ascii="宋体" w:hAnsi="宋体" w:eastAsia="宋体"/>
                <w:szCs w:val="21"/>
              </w:rPr>
              <w:t>专业知识</w:t>
            </w:r>
            <w:r>
              <w:rPr>
                <w:rFonts w:ascii="Times New Roman" w:hAnsi="Times New Roman" w:eastAsia="宋体" w:cs="Times New Roman"/>
                <w:i/>
                <w:iCs/>
                <w:szCs w:val="21"/>
              </w:rPr>
              <w:t>C</w:t>
            </w:r>
            <w:r>
              <w:rPr>
                <w:rFonts w:ascii="Times New Roman" w:hAnsi="Times New Roman" w:eastAsia="宋体" w:cs="Times New Roman"/>
                <w:i/>
                <w:iCs/>
                <w:szCs w:val="21"/>
                <w:vertAlign w:val="subscript"/>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55" w:type="dxa"/>
            <w:vMerge w:val="continue"/>
            <w:vAlign w:val="center"/>
          </w:tcPr>
          <w:p>
            <w:pPr>
              <w:spacing w:line="400" w:lineRule="exact"/>
              <w:jc w:val="center"/>
              <w:rPr>
                <w:rFonts w:ascii="宋体" w:hAnsi="宋体" w:eastAsia="宋体"/>
                <w:szCs w:val="21"/>
              </w:rPr>
            </w:pPr>
          </w:p>
        </w:tc>
        <w:tc>
          <w:tcPr>
            <w:tcW w:w="1588" w:type="dxa"/>
            <w:vMerge w:val="restart"/>
            <w:vAlign w:val="center"/>
          </w:tcPr>
          <w:p>
            <w:pPr>
              <w:spacing w:line="400" w:lineRule="exact"/>
              <w:jc w:val="center"/>
              <w:rPr>
                <w:rFonts w:ascii="宋体" w:hAnsi="宋体" w:eastAsia="宋体"/>
                <w:szCs w:val="21"/>
              </w:rPr>
            </w:pPr>
            <w:r>
              <w:rPr>
                <w:rFonts w:hint="eastAsia" w:ascii="宋体" w:hAnsi="宋体" w:eastAsia="宋体"/>
                <w:szCs w:val="21"/>
              </w:rPr>
              <w:t>宣传报道的及时性</w:t>
            </w:r>
            <w:r>
              <w:rPr>
                <w:rFonts w:ascii="Times New Roman" w:hAnsi="Times New Roman" w:eastAsia="宋体" w:cs="Times New Roman"/>
                <w:i/>
                <w:iCs/>
                <w:szCs w:val="21"/>
              </w:rPr>
              <w:t>B</w:t>
            </w:r>
            <w:r>
              <w:rPr>
                <w:rFonts w:ascii="Times New Roman" w:hAnsi="Times New Roman" w:eastAsia="宋体" w:cs="Times New Roman"/>
                <w:i/>
                <w:iCs/>
                <w:szCs w:val="21"/>
                <w:vertAlign w:val="subscript"/>
              </w:rPr>
              <w:t>4</w:t>
            </w:r>
          </w:p>
        </w:tc>
        <w:tc>
          <w:tcPr>
            <w:tcW w:w="4790" w:type="dxa"/>
            <w:vAlign w:val="center"/>
          </w:tcPr>
          <w:p>
            <w:pPr>
              <w:spacing w:line="400" w:lineRule="exact"/>
              <w:jc w:val="left"/>
              <w:rPr>
                <w:rFonts w:ascii="宋体" w:hAnsi="宋体" w:eastAsia="宋体"/>
                <w:szCs w:val="21"/>
              </w:rPr>
            </w:pPr>
            <w:r>
              <w:rPr>
                <w:rFonts w:ascii="宋体" w:hAnsi="宋体" w:eastAsia="宋体"/>
                <w:szCs w:val="21"/>
              </w:rPr>
              <w:t>定期开展</w:t>
            </w:r>
            <w:r>
              <w:rPr>
                <w:rFonts w:hint="eastAsia" w:ascii="宋体" w:hAnsi="宋体" w:eastAsia="宋体"/>
                <w:szCs w:val="21"/>
              </w:rPr>
              <w:t>各类</w:t>
            </w:r>
            <w:r>
              <w:rPr>
                <w:rFonts w:ascii="宋体" w:hAnsi="宋体" w:eastAsia="宋体"/>
                <w:szCs w:val="21"/>
              </w:rPr>
              <w:t>资助政策</w:t>
            </w:r>
            <w:r>
              <w:rPr>
                <w:rFonts w:hint="eastAsia" w:ascii="宋体" w:hAnsi="宋体" w:eastAsia="宋体"/>
                <w:szCs w:val="21"/>
              </w:rPr>
              <w:t>解读</w:t>
            </w:r>
            <w:r>
              <w:rPr>
                <w:rFonts w:ascii="宋体" w:hAnsi="宋体" w:eastAsia="宋体"/>
                <w:szCs w:val="21"/>
              </w:rPr>
              <w:t>会</w:t>
            </w:r>
            <w:r>
              <w:rPr>
                <w:rFonts w:ascii="Times New Roman" w:hAnsi="Times New Roman" w:eastAsia="宋体" w:cs="Times New Roman"/>
                <w:i/>
                <w:iCs/>
                <w:szCs w:val="21"/>
              </w:rPr>
              <w:t>C</w:t>
            </w:r>
            <w:r>
              <w:rPr>
                <w:rFonts w:ascii="Times New Roman" w:hAnsi="Times New Roman" w:eastAsia="宋体" w:cs="Times New Roman"/>
                <w:i/>
                <w:iCs/>
                <w:szCs w:val="21"/>
                <w:vertAlign w:val="subscript"/>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55" w:type="dxa"/>
            <w:vMerge w:val="continue"/>
            <w:vAlign w:val="center"/>
          </w:tcPr>
          <w:p>
            <w:pPr>
              <w:spacing w:line="400" w:lineRule="exact"/>
              <w:jc w:val="center"/>
              <w:rPr>
                <w:rFonts w:ascii="宋体" w:hAnsi="宋体" w:eastAsia="宋体"/>
                <w:szCs w:val="21"/>
              </w:rPr>
            </w:pPr>
          </w:p>
        </w:tc>
        <w:tc>
          <w:tcPr>
            <w:tcW w:w="1588" w:type="dxa"/>
            <w:vMerge w:val="continue"/>
            <w:vAlign w:val="center"/>
          </w:tcPr>
          <w:p>
            <w:pPr>
              <w:spacing w:line="400" w:lineRule="exact"/>
              <w:jc w:val="center"/>
              <w:rPr>
                <w:rFonts w:ascii="宋体" w:hAnsi="宋体" w:eastAsia="宋体"/>
                <w:szCs w:val="21"/>
              </w:rPr>
            </w:pPr>
          </w:p>
        </w:tc>
        <w:tc>
          <w:tcPr>
            <w:tcW w:w="4790" w:type="dxa"/>
            <w:vAlign w:val="center"/>
          </w:tcPr>
          <w:p>
            <w:pPr>
              <w:spacing w:line="400" w:lineRule="exact"/>
              <w:jc w:val="left"/>
              <w:rPr>
                <w:rFonts w:ascii="宋体" w:hAnsi="宋体" w:eastAsia="宋体"/>
                <w:szCs w:val="21"/>
              </w:rPr>
            </w:pPr>
            <w:r>
              <w:rPr>
                <w:rFonts w:hint="eastAsia" w:ascii="宋体" w:hAnsi="宋体" w:eastAsia="宋体"/>
                <w:szCs w:val="21"/>
              </w:rPr>
              <w:t>积极</w:t>
            </w:r>
            <w:r>
              <w:rPr>
                <w:rFonts w:ascii="宋体" w:hAnsi="宋体" w:eastAsia="宋体"/>
                <w:szCs w:val="21"/>
              </w:rPr>
              <w:t>宣传</w:t>
            </w:r>
            <w:r>
              <w:rPr>
                <w:rFonts w:hint="eastAsia" w:ascii="宋体" w:hAnsi="宋体" w:eastAsia="宋体"/>
                <w:szCs w:val="21"/>
              </w:rPr>
              <w:t>受助</w:t>
            </w:r>
            <w:r>
              <w:rPr>
                <w:rFonts w:ascii="宋体" w:hAnsi="宋体" w:eastAsia="宋体"/>
                <w:szCs w:val="21"/>
              </w:rPr>
              <w:t>学生典型</w:t>
            </w:r>
            <w:r>
              <w:rPr>
                <w:rFonts w:hint="eastAsia" w:ascii="宋体" w:hAnsi="宋体" w:eastAsia="宋体"/>
                <w:szCs w:val="21"/>
              </w:rPr>
              <w:t>事迹</w:t>
            </w:r>
            <w:r>
              <w:rPr>
                <w:rFonts w:ascii="Times New Roman" w:hAnsi="Times New Roman" w:eastAsia="宋体" w:cs="Times New Roman"/>
                <w:i/>
                <w:iCs/>
                <w:szCs w:val="21"/>
              </w:rPr>
              <w:t>C</w:t>
            </w:r>
            <w:r>
              <w:rPr>
                <w:rFonts w:ascii="Times New Roman" w:hAnsi="Times New Roman" w:eastAsia="宋体" w:cs="Times New Roman"/>
                <w:i/>
                <w:iCs/>
                <w:szCs w:val="21"/>
                <w:vertAlign w:val="subscript"/>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55" w:type="dxa"/>
            <w:vMerge w:val="continue"/>
            <w:tcBorders>
              <w:bottom w:val="single" w:color="000000" w:themeColor="text1" w:sz="4" w:space="0"/>
            </w:tcBorders>
            <w:vAlign w:val="center"/>
          </w:tcPr>
          <w:p>
            <w:pPr>
              <w:spacing w:line="400" w:lineRule="exact"/>
              <w:jc w:val="center"/>
              <w:rPr>
                <w:rFonts w:ascii="宋体" w:hAnsi="宋体" w:eastAsia="宋体"/>
                <w:szCs w:val="21"/>
              </w:rPr>
            </w:pPr>
          </w:p>
        </w:tc>
        <w:tc>
          <w:tcPr>
            <w:tcW w:w="1588" w:type="dxa"/>
            <w:vMerge w:val="continue"/>
            <w:tcBorders>
              <w:bottom w:val="single" w:color="000000" w:themeColor="text1" w:sz="4" w:space="0"/>
            </w:tcBorders>
            <w:vAlign w:val="center"/>
          </w:tcPr>
          <w:p>
            <w:pPr>
              <w:spacing w:line="400" w:lineRule="exact"/>
              <w:jc w:val="center"/>
              <w:rPr>
                <w:rFonts w:ascii="宋体" w:hAnsi="宋体" w:eastAsia="宋体"/>
                <w:szCs w:val="21"/>
              </w:rPr>
            </w:pPr>
          </w:p>
        </w:tc>
        <w:tc>
          <w:tcPr>
            <w:tcW w:w="4790" w:type="dxa"/>
            <w:tcBorders>
              <w:bottom w:val="single" w:color="000000" w:themeColor="text1" w:sz="4" w:space="0"/>
            </w:tcBorders>
            <w:vAlign w:val="center"/>
          </w:tcPr>
          <w:p>
            <w:pPr>
              <w:spacing w:line="400" w:lineRule="exact"/>
              <w:jc w:val="left"/>
              <w:rPr>
                <w:rFonts w:ascii="宋体" w:hAnsi="宋体" w:eastAsia="宋体"/>
                <w:szCs w:val="21"/>
              </w:rPr>
            </w:pPr>
            <w:r>
              <w:rPr>
                <w:rFonts w:hint="eastAsia" w:ascii="宋体" w:hAnsi="宋体" w:eastAsia="宋体"/>
                <w:szCs w:val="21"/>
              </w:rPr>
              <w:t>与学生</w:t>
            </w:r>
            <w:r>
              <w:rPr>
                <w:rFonts w:ascii="宋体" w:hAnsi="宋体" w:eastAsia="宋体"/>
                <w:szCs w:val="21"/>
              </w:rPr>
              <w:t>家庭保持</w:t>
            </w:r>
            <w:r>
              <w:rPr>
                <w:rFonts w:hint="eastAsia" w:ascii="宋体" w:hAnsi="宋体" w:eastAsia="宋体"/>
                <w:szCs w:val="21"/>
              </w:rPr>
              <w:t>经常性</w:t>
            </w:r>
            <w:r>
              <w:rPr>
                <w:rFonts w:ascii="宋体" w:hAnsi="宋体" w:eastAsia="宋体"/>
                <w:szCs w:val="21"/>
              </w:rPr>
              <w:t>沟通交流</w:t>
            </w:r>
            <w:r>
              <w:rPr>
                <w:rFonts w:ascii="Times New Roman" w:hAnsi="Times New Roman" w:eastAsia="宋体" w:cs="Times New Roman"/>
                <w:i/>
                <w:iCs/>
                <w:szCs w:val="21"/>
              </w:rPr>
              <w:t>C</w:t>
            </w:r>
            <w:r>
              <w:rPr>
                <w:rFonts w:ascii="Times New Roman" w:hAnsi="Times New Roman" w:eastAsia="宋体" w:cs="Times New Roman"/>
                <w:i/>
                <w:iCs/>
                <w:szCs w:val="21"/>
                <w:vertAlign w:val="subscript"/>
              </w:rPr>
              <w:t>16</w:t>
            </w:r>
          </w:p>
        </w:tc>
      </w:tr>
    </w:tbl>
    <w:p>
      <w:pPr>
        <w:spacing w:line="400" w:lineRule="exact"/>
        <w:ind w:firstLine="420" w:firstLineChars="200"/>
        <w:rPr>
          <w:rFonts w:ascii="宋体" w:hAnsi="宋体" w:eastAsia="宋体"/>
          <w:szCs w:val="21"/>
        </w:rPr>
      </w:pPr>
      <w:r>
        <w:rPr>
          <w:rFonts w:ascii="宋体" w:hAnsi="宋体" w:eastAsia="宋体"/>
          <w:szCs w:val="21"/>
        </w:rPr>
        <w:t>奖助</w:t>
      </w:r>
      <w:r>
        <w:rPr>
          <w:rFonts w:hint="eastAsia" w:ascii="宋体" w:hAnsi="宋体" w:eastAsia="宋体"/>
          <w:szCs w:val="21"/>
        </w:rPr>
        <w:t>资</w:t>
      </w:r>
      <w:r>
        <w:rPr>
          <w:rFonts w:ascii="宋体" w:hAnsi="宋体" w:eastAsia="宋体"/>
          <w:szCs w:val="21"/>
        </w:rPr>
        <w:t>金</w:t>
      </w:r>
      <w:r>
        <w:rPr>
          <w:rFonts w:hint="eastAsia" w:ascii="宋体" w:hAnsi="宋体" w:eastAsia="宋体"/>
          <w:szCs w:val="21"/>
        </w:rPr>
        <w:t>发放</w:t>
      </w:r>
      <w:r>
        <w:rPr>
          <w:rFonts w:ascii="宋体" w:hAnsi="宋体" w:eastAsia="宋体"/>
          <w:szCs w:val="21"/>
        </w:rPr>
        <w:t>的科学性。</w:t>
      </w:r>
      <w:r>
        <w:rPr>
          <w:rFonts w:hint="eastAsia" w:ascii="宋体" w:hAnsi="宋体" w:eastAsia="宋体"/>
          <w:szCs w:val="21"/>
        </w:rPr>
        <w:t>各类奖助</w:t>
      </w:r>
      <w:r>
        <w:rPr>
          <w:rFonts w:ascii="宋体" w:hAnsi="宋体" w:eastAsia="宋体"/>
          <w:szCs w:val="21"/>
        </w:rPr>
        <w:t>学金</w:t>
      </w:r>
      <w:r>
        <w:rPr>
          <w:rFonts w:hint="eastAsia" w:ascii="宋体" w:hAnsi="宋体" w:eastAsia="宋体"/>
          <w:szCs w:val="21"/>
        </w:rPr>
        <w:t>的</w:t>
      </w:r>
      <w:r>
        <w:rPr>
          <w:rFonts w:ascii="宋体" w:hAnsi="宋体" w:eastAsia="宋体"/>
          <w:szCs w:val="21"/>
        </w:rPr>
        <w:t>发放是高校资助工作的</w:t>
      </w:r>
      <w:r>
        <w:rPr>
          <w:rFonts w:hint="eastAsia" w:ascii="宋体" w:hAnsi="宋体" w:eastAsia="宋体"/>
          <w:szCs w:val="21"/>
        </w:rPr>
        <w:t>基础环节</w:t>
      </w:r>
      <w:r>
        <w:rPr>
          <w:rFonts w:ascii="宋体" w:hAnsi="宋体" w:eastAsia="宋体"/>
          <w:szCs w:val="21"/>
        </w:rPr>
        <w:t>，也是资助育人工作开展的前提，其科学性</w:t>
      </w:r>
      <w:r>
        <w:rPr>
          <w:rFonts w:hint="eastAsia" w:ascii="宋体" w:hAnsi="宋体" w:eastAsia="宋体"/>
          <w:szCs w:val="21"/>
        </w:rPr>
        <w:t>将</w:t>
      </w:r>
      <w:r>
        <w:rPr>
          <w:rFonts w:ascii="宋体" w:hAnsi="宋体" w:eastAsia="宋体"/>
          <w:szCs w:val="21"/>
        </w:rPr>
        <w:t>直接</w:t>
      </w:r>
      <w:r>
        <w:rPr>
          <w:rFonts w:hint="eastAsia" w:ascii="宋体" w:hAnsi="宋体" w:eastAsia="宋体"/>
          <w:szCs w:val="21"/>
        </w:rPr>
        <w:t>影响到</w:t>
      </w:r>
      <w:r>
        <w:rPr>
          <w:rFonts w:ascii="宋体" w:hAnsi="宋体" w:eastAsia="宋体"/>
          <w:szCs w:val="21"/>
        </w:rPr>
        <w:t>资助育人工作</w:t>
      </w:r>
      <w:r>
        <w:rPr>
          <w:rFonts w:hint="eastAsia" w:ascii="宋体" w:hAnsi="宋体" w:eastAsia="宋体"/>
          <w:szCs w:val="21"/>
        </w:rPr>
        <w:t>效果</w:t>
      </w:r>
      <w:r>
        <w:rPr>
          <w:rFonts w:ascii="宋体" w:hAnsi="宋体" w:eastAsia="宋体"/>
          <w:szCs w:val="21"/>
        </w:rPr>
        <w:t>。</w:t>
      </w:r>
      <w:r>
        <w:rPr>
          <w:rFonts w:hint="eastAsia" w:ascii="宋体" w:hAnsi="宋体" w:eastAsia="宋体"/>
          <w:szCs w:val="21"/>
        </w:rPr>
        <w:t>在</w:t>
      </w:r>
      <w:r>
        <w:rPr>
          <w:rFonts w:ascii="宋体" w:hAnsi="宋体" w:eastAsia="宋体"/>
          <w:szCs w:val="21"/>
        </w:rPr>
        <w:t>奖</w:t>
      </w:r>
      <w:r>
        <w:rPr>
          <w:rFonts w:hint="eastAsia" w:ascii="宋体" w:hAnsi="宋体" w:eastAsia="宋体"/>
          <w:szCs w:val="21"/>
        </w:rPr>
        <w:t>、</w:t>
      </w:r>
      <w:r>
        <w:rPr>
          <w:rFonts w:ascii="宋体" w:hAnsi="宋体" w:eastAsia="宋体"/>
          <w:szCs w:val="21"/>
        </w:rPr>
        <w:t>助学金发放过程中，</w:t>
      </w:r>
      <w:r>
        <w:rPr>
          <w:rFonts w:hint="eastAsia" w:ascii="宋体" w:hAnsi="宋体" w:eastAsia="宋体"/>
          <w:szCs w:val="21"/>
        </w:rPr>
        <w:t>首先</w:t>
      </w:r>
      <w:r>
        <w:rPr>
          <w:rFonts w:ascii="宋体" w:hAnsi="宋体" w:eastAsia="宋体"/>
          <w:szCs w:val="21"/>
        </w:rPr>
        <w:t>需要解决的</w:t>
      </w:r>
      <w:r>
        <w:rPr>
          <w:rFonts w:hint="eastAsia" w:ascii="宋体" w:hAnsi="宋体" w:eastAsia="宋体"/>
          <w:szCs w:val="21"/>
        </w:rPr>
        <w:t>问题是界定受助学生</w:t>
      </w:r>
      <w:r>
        <w:rPr>
          <w:rFonts w:ascii="宋体" w:hAnsi="宋体" w:eastAsia="宋体"/>
          <w:szCs w:val="21"/>
        </w:rPr>
        <w:t>群体</w:t>
      </w:r>
      <w:r>
        <w:rPr>
          <w:rFonts w:hint="eastAsia" w:ascii="宋体" w:hAnsi="宋体" w:eastAsia="宋体"/>
          <w:szCs w:val="21"/>
        </w:rPr>
        <w:t>范围，也就是明确</w:t>
      </w:r>
      <w:r>
        <w:rPr>
          <w:rFonts w:ascii="宋体" w:hAnsi="宋体" w:eastAsia="宋体"/>
          <w:szCs w:val="21"/>
        </w:rPr>
        <w:t>资助育人的工作</w:t>
      </w:r>
      <w:r>
        <w:rPr>
          <w:rFonts w:hint="eastAsia" w:ascii="宋体" w:hAnsi="宋体" w:eastAsia="宋体"/>
          <w:szCs w:val="21"/>
        </w:rPr>
        <w:t>对象</w:t>
      </w:r>
      <w:r>
        <w:rPr>
          <w:rFonts w:ascii="宋体" w:hAnsi="宋体" w:eastAsia="宋体"/>
          <w:szCs w:val="21"/>
        </w:rPr>
        <w:t>。</w:t>
      </w:r>
      <w:r>
        <w:rPr>
          <w:rFonts w:hint="eastAsia" w:ascii="宋体" w:hAnsi="宋体" w:eastAsia="宋体"/>
          <w:szCs w:val="21"/>
        </w:rPr>
        <w:t>在此之后</w:t>
      </w:r>
      <w:r>
        <w:rPr>
          <w:rFonts w:ascii="宋体" w:hAnsi="宋体" w:eastAsia="宋体"/>
          <w:szCs w:val="21"/>
        </w:rPr>
        <w:t>，则</w:t>
      </w:r>
      <w:r>
        <w:rPr>
          <w:rFonts w:hint="eastAsia" w:ascii="宋体" w:hAnsi="宋体" w:eastAsia="宋体"/>
          <w:szCs w:val="21"/>
        </w:rPr>
        <w:t>是根据国家</w:t>
      </w:r>
      <w:r>
        <w:rPr>
          <w:rFonts w:ascii="宋体" w:hAnsi="宋体" w:eastAsia="宋体"/>
          <w:szCs w:val="21"/>
        </w:rPr>
        <w:t>、学校的相关规定，</w:t>
      </w:r>
      <w:r>
        <w:rPr>
          <w:rFonts w:hint="eastAsia" w:ascii="宋体" w:hAnsi="宋体" w:eastAsia="宋体"/>
          <w:szCs w:val="21"/>
        </w:rPr>
        <w:t>及时进行</w:t>
      </w:r>
      <w:r>
        <w:rPr>
          <w:rFonts w:ascii="宋体" w:hAnsi="宋体" w:eastAsia="宋体"/>
          <w:szCs w:val="21"/>
        </w:rPr>
        <w:t>各类奖助学金的发放</w:t>
      </w:r>
      <w:r>
        <w:rPr>
          <w:rFonts w:hint="eastAsia" w:ascii="宋体" w:hAnsi="宋体" w:eastAsia="宋体"/>
          <w:szCs w:val="21"/>
        </w:rPr>
        <w:t>，保障</w:t>
      </w:r>
      <w:r>
        <w:rPr>
          <w:rFonts w:ascii="宋体" w:hAnsi="宋体" w:eastAsia="宋体"/>
          <w:szCs w:val="21"/>
        </w:rPr>
        <w:t>家庭经济困难学生在校期间基本的生活需要。随着</w:t>
      </w:r>
      <w:r>
        <w:rPr>
          <w:rFonts w:hint="eastAsia" w:ascii="宋体" w:hAnsi="宋体" w:eastAsia="宋体"/>
          <w:szCs w:val="21"/>
        </w:rPr>
        <w:t>“</w:t>
      </w:r>
      <w:r>
        <w:rPr>
          <w:rFonts w:ascii="宋体" w:hAnsi="宋体" w:eastAsia="宋体"/>
          <w:szCs w:val="21"/>
        </w:rPr>
        <w:t>以人为本</w:t>
      </w:r>
      <w:r>
        <w:rPr>
          <w:rFonts w:hint="eastAsia" w:ascii="宋体" w:hAnsi="宋体" w:eastAsia="宋体"/>
          <w:szCs w:val="21"/>
        </w:rPr>
        <w:t>”</w:t>
      </w:r>
      <w:r>
        <w:rPr>
          <w:rFonts w:ascii="宋体" w:hAnsi="宋体" w:eastAsia="宋体"/>
          <w:szCs w:val="21"/>
        </w:rPr>
        <w:t>管理理念的</w:t>
      </w:r>
      <w:r>
        <w:rPr>
          <w:rFonts w:hint="eastAsia" w:ascii="宋体" w:hAnsi="宋体" w:eastAsia="宋体"/>
          <w:szCs w:val="21"/>
        </w:rPr>
        <w:t>提出</w:t>
      </w:r>
      <w:r>
        <w:rPr>
          <w:rFonts w:ascii="宋体" w:hAnsi="宋体" w:eastAsia="宋体"/>
          <w:szCs w:val="21"/>
        </w:rPr>
        <w:t>，在</w:t>
      </w:r>
      <w:r>
        <w:rPr>
          <w:rFonts w:hint="eastAsia" w:ascii="宋体" w:hAnsi="宋体" w:eastAsia="宋体"/>
          <w:szCs w:val="21"/>
        </w:rPr>
        <w:t>困难生</w:t>
      </w:r>
      <w:r>
        <w:rPr>
          <w:rFonts w:ascii="宋体" w:hAnsi="宋体" w:eastAsia="宋体"/>
          <w:szCs w:val="21"/>
        </w:rPr>
        <w:t>认定和奖助学金发放过程中，对学生隐私进行保护也成为对资助工作提出的新要求。</w:t>
      </w:r>
    </w:p>
    <w:p>
      <w:pPr>
        <w:spacing w:line="400" w:lineRule="exact"/>
        <w:ind w:firstLine="420" w:firstLineChars="200"/>
        <w:rPr>
          <w:rFonts w:ascii="宋体" w:hAnsi="宋体" w:eastAsia="宋体"/>
          <w:szCs w:val="21"/>
        </w:rPr>
      </w:pPr>
      <w:r>
        <w:rPr>
          <w:rFonts w:hint="eastAsia" w:ascii="宋体" w:hAnsi="宋体" w:eastAsia="宋体"/>
          <w:szCs w:val="21"/>
        </w:rPr>
        <w:t>育人措施</w:t>
      </w:r>
      <w:r>
        <w:rPr>
          <w:rFonts w:ascii="宋体" w:hAnsi="宋体" w:eastAsia="宋体"/>
          <w:szCs w:val="21"/>
        </w:rPr>
        <w:t>的有效性。</w:t>
      </w:r>
      <w:r>
        <w:rPr>
          <w:rFonts w:hint="eastAsia" w:ascii="宋体" w:hAnsi="宋体" w:eastAsia="宋体"/>
          <w:szCs w:val="21"/>
        </w:rPr>
        <w:t>教育部部长</w:t>
      </w:r>
      <w:r>
        <w:rPr>
          <w:rFonts w:ascii="宋体" w:hAnsi="宋体" w:eastAsia="宋体"/>
          <w:szCs w:val="21"/>
        </w:rPr>
        <w:t>陈宝生</w:t>
      </w:r>
      <w:r>
        <w:rPr>
          <w:rFonts w:hint="eastAsia" w:ascii="宋体" w:hAnsi="宋体" w:eastAsia="宋体"/>
          <w:szCs w:val="21"/>
        </w:rPr>
        <w:t>曾要求</w:t>
      </w:r>
      <w:r>
        <w:rPr>
          <w:rFonts w:ascii="宋体" w:hAnsi="宋体" w:eastAsia="宋体"/>
          <w:szCs w:val="21"/>
        </w:rPr>
        <w:t>：</w:t>
      </w:r>
      <w:r>
        <w:rPr>
          <w:rFonts w:hint="eastAsia" w:ascii="宋体" w:hAnsi="宋体" w:eastAsia="宋体"/>
          <w:szCs w:val="21"/>
        </w:rPr>
        <w:t>学生资助的最终目的在于帮助家庭经济困难学生成长成才，要切实发挥学生资助育人功效。资助</w:t>
      </w:r>
      <w:r>
        <w:rPr>
          <w:rFonts w:ascii="宋体" w:hAnsi="宋体" w:eastAsia="宋体"/>
          <w:szCs w:val="21"/>
        </w:rPr>
        <w:t>育人功效的发挥在于资助育人措施采取的有效性，在于资助育人活动开展的</w:t>
      </w:r>
      <w:r>
        <w:rPr>
          <w:rFonts w:hint="eastAsia" w:ascii="宋体" w:hAnsi="宋体" w:eastAsia="宋体"/>
          <w:szCs w:val="21"/>
        </w:rPr>
        <w:t>针对性和</w:t>
      </w:r>
      <w:r>
        <w:rPr>
          <w:rFonts w:ascii="宋体" w:hAnsi="宋体" w:eastAsia="宋体"/>
          <w:szCs w:val="21"/>
        </w:rPr>
        <w:t>吸引力。</w:t>
      </w:r>
      <w:r>
        <w:rPr>
          <w:rFonts w:hint="eastAsia" w:ascii="宋体" w:hAnsi="宋体" w:eastAsia="宋体"/>
          <w:szCs w:val="21"/>
        </w:rPr>
        <w:t>目前</w:t>
      </w:r>
      <w:r>
        <w:rPr>
          <w:rFonts w:ascii="宋体" w:hAnsi="宋体" w:eastAsia="宋体"/>
          <w:szCs w:val="21"/>
        </w:rPr>
        <w:t>，高校在资助育人方面的</w:t>
      </w:r>
      <w:r>
        <w:rPr>
          <w:rFonts w:hint="eastAsia" w:ascii="宋体" w:hAnsi="宋体" w:eastAsia="宋体"/>
          <w:szCs w:val="21"/>
        </w:rPr>
        <w:t>探索</w:t>
      </w:r>
      <w:r>
        <w:rPr>
          <w:rFonts w:ascii="宋体" w:hAnsi="宋体" w:eastAsia="宋体"/>
          <w:szCs w:val="21"/>
        </w:rPr>
        <w:t>日趋深入，总体看来，资助育人工作</w:t>
      </w:r>
      <w:r>
        <w:rPr>
          <w:rFonts w:hint="eastAsia" w:ascii="宋体" w:hAnsi="宋体" w:eastAsia="宋体"/>
          <w:szCs w:val="21"/>
        </w:rPr>
        <w:t>措施</w:t>
      </w:r>
      <w:r>
        <w:rPr>
          <w:rFonts w:ascii="宋体" w:hAnsi="宋体" w:eastAsia="宋体"/>
          <w:szCs w:val="21"/>
        </w:rPr>
        <w:t>包括了心理疏导、</w:t>
      </w:r>
      <w:r>
        <w:rPr>
          <w:rFonts w:hint="eastAsia" w:ascii="宋体" w:hAnsi="宋体" w:eastAsia="宋体"/>
          <w:szCs w:val="21"/>
        </w:rPr>
        <w:t>学业指导</w:t>
      </w:r>
      <w:r>
        <w:rPr>
          <w:rFonts w:ascii="宋体" w:hAnsi="宋体" w:eastAsia="宋体"/>
          <w:szCs w:val="21"/>
        </w:rPr>
        <w:t>、就业提升、诚信教育、感恩教育等多个方面，资助育人活动形式也更为多样化。</w:t>
      </w:r>
      <w:r>
        <w:rPr>
          <w:rFonts w:hint="eastAsia" w:ascii="宋体" w:hAnsi="宋体" w:eastAsia="宋体"/>
          <w:szCs w:val="21"/>
        </w:rPr>
        <w:t>但是</w:t>
      </w:r>
      <w:r>
        <w:rPr>
          <w:rFonts w:ascii="宋体" w:hAnsi="宋体" w:eastAsia="宋体"/>
          <w:szCs w:val="21"/>
        </w:rPr>
        <w:t>随着资助育人工作进入新阶段，</w:t>
      </w:r>
      <w:r>
        <w:rPr>
          <w:rFonts w:hint="eastAsia" w:ascii="宋体" w:hAnsi="宋体" w:eastAsia="宋体"/>
          <w:szCs w:val="21"/>
        </w:rPr>
        <w:t>也要求高校</w:t>
      </w:r>
      <w:r>
        <w:rPr>
          <w:rFonts w:ascii="宋体" w:hAnsi="宋体" w:eastAsia="宋体"/>
          <w:szCs w:val="21"/>
        </w:rPr>
        <w:t>不断进行创新</w:t>
      </w:r>
      <w:r>
        <w:rPr>
          <w:rFonts w:hint="eastAsia" w:ascii="宋体" w:hAnsi="宋体" w:eastAsia="宋体"/>
          <w:szCs w:val="21"/>
        </w:rPr>
        <w:t>，</w:t>
      </w:r>
      <w:r>
        <w:rPr>
          <w:rFonts w:ascii="宋体" w:hAnsi="宋体" w:eastAsia="宋体"/>
          <w:szCs w:val="21"/>
        </w:rPr>
        <w:t>增强各项资助育人</w:t>
      </w:r>
      <w:r>
        <w:rPr>
          <w:rFonts w:hint="eastAsia" w:ascii="宋体" w:hAnsi="宋体" w:eastAsia="宋体"/>
          <w:szCs w:val="21"/>
        </w:rPr>
        <w:t>措施有效性</w:t>
      </w:r>
      <w:r>
        <w:rPr>
          <w:rFonts w:ascii="宋体" w:hAnsi="宋体" w:eastAsia="宋体"/>
          <w:szCs w:val="21"/>
        </w:rPr>
        <w:t>，焕发资助育人工作</w:t>
      </w:r>
      <w:r>
        <w:rPr>
          <w:rFonts w:hint="eastAsia" w:ascii="宋体" w:hAnsi="宋体" w:eastAsia="宋体"/>
          <w:szCs w:val="21"/>
        </w:rPr>
        <w:t>新的</w:t>
      </w:r>
      <w:r>
        <w:rPr>
          <w:rFonts w:ascii="宋体" w:hAnsi="宋体" w:eastAsia="宋体"/>
          <w:szCs w:val="21"/>
        </w:rPr>
        <w:t>活力。</w:t>
      </w:r>
    </w:p>
    <w:p>
      <w:pPr>
        <w:spacing w:line="400" w:lineRule="exact"/>
        <w:ind w:firstLine="420" w:firstLineChars="200"/>
        <w:rPr>
          <w:rFonts w:ascii="宋体" w:hAnsi="宋体" w:eastAsia="宋体"/>
          <w:szCs w:val="21"/>
        </w:rPr>
      </w:pPr>
      <w:r>
        <w:rPr>
          <w:rFonts w:hint="eastAsia" w:ascii="宋体" w:hAnsi="宋体" w:eastAsia="宋体"/>
          <w:szCs w:val="21"/>
        </w:rPr>
        <w:t>资助</w:t>
      </w:r>
      <w:r>
        <w:rPr>
          <w:rFonts w:ascii="宋体" w:hAnsi="宋体" w:eastAsia="宋体"/>
          <w:szCs w:val="21"/>
        </w:rPr>
        <w:t>工作人员的专业性。</w:t>
      </w:r>
      <w:r>
        <w:rPr>
          <w:rFonts w:hint="eastAsia" w:ascii="宋体" w:hAnsi="宋体" w:eastAsia="宋体"/>
          <w:szCs w:val="21"/>
        </w:rPr>
        <w:t>大学生</w:t>
      </w:r>
      <w:r>
        <w:rPr>
          <w:rFonts w:ascii="宋体" w:hAnsi="宋体" w:eastAsia="宋体"/>
          <w:szCs w:val="21"/>
        </w:rPr>
        <w:t>的教育和管理是一门高深的学问，需要把握高等教育的规律和学生自身特点</w:t>
      </w:r>
      <w:r>
        <w:rPr>
          <w:rFonts w:hint="eastAsia" w:ascii="宋体" w:hAnsi="宋体" w:eastAsia="宋体"/>
          <w:szCs w:val="21"/>
        </w:rPr>
        <w:t>，</w:t>
      </w:r>
      <w:r>
        <w:rPr>
          <w:rFonts w:ascii="宋体" w:hAnsi="宋体" w:eastAsia="宋体"/>
          <w:szCs w:val="21"/>
        </w:rPr>
        <w:t>而</w:t>
      </w:r>
      <w:r>
        <w:rPr>
          <w:rFonts w:hint="eastAsia" w:ascii="宋体" w:hAnsi="宋体" w:eastAsia="宋体"/>
          <w:szCs w:val="21"/>
        </w:rPr>
        <w:t>资助</w:t>
      </w:r>
      <w:r>
        <w:rPr>
          <w:rFonts w:ascii="宋体" w:hAnsi="宋体" w:eastAsia="宋体"/>
          <w:szCs w:val="21"/>
        </w:rPr>
        <w:t>育人工作从根本上</w:t>
      </w:r>
      <w:r>
        <w:rPr>
          <w:rFonts w:hint="eastAsia" w:ascii="宋体" w:hAnsi="宋体" w:eastAsia="宋体"/>
          <w:szCs w:val="21"/>
        </w:rPr>
        <w:t>讲是</w:t>
      </w:r>
      <w:r>
        <w:rPr>
          <w:rFonts w:ascii="宋体" w:hAnsi="宋体" w:eastAsia="宋体"/>
          <w:szCs w:val="21"/>
        </w:rPr>
        <w:t>做人的工作，</w:t>
      </w:r>
      <w:r>
        <w:rPr>
          <w:rFonts w:hint="eastAsia" w:ascii="宋体" w:hAnsi="宋体" w:eastAsia="宋体"/>
          <w:szCs w:val="21"/>
        </w:rPr>
        <w:t>是学生思想</w:t>
      </w:r>
      <w:r>
        <w:rPr>
          <w:rFonts w:ascii="宋体" w:hAnsi="宋体" w:eastAsia="宋体"/>
          <w:szCs w:val="21"/>
        </w:rPr>
        <w:t>教育的一部分，而非简单事务性工作</w:t>
      </w:r>
      <w:r>
        <w:rPr>
          <w:rFonts w:hint="eastAsia" w:ascii="宋体" w:hAnsi="宋体" w:eastAsia="宋体"/>
          <w:szCs w:val="21"/>
        </w:rPr>
        <w:t>，</w:t>
      </w:r>
      <w:r>
        <w:rPr>
          <w:rFonts w:ascii="宋体" w:hAnsi="宋体" w:eastAsia="宋体"/>
          <w:szCs w:val="21"/>
        </w:rPr>
        <w:t>因此</w:t>
      </w:r>
      <w:r>
        <w:rPr>
          <w:rFonts w:hint="eastAsia" w:ascii="宋体" w:hAnsi="宋体" w:eastAsia="宋体"/>
          <w:szCs w:val="21"/>
        </w:rPr>
        <w:t>需要</w:t>
      </w:r>
      <w:r>
        <w:rPr>
          <w:rFonts w:ascii="宋体" w:hAnsi="宋体" w:eastAsia="宋体"/>
          <w:szCs w:val="21"/>
        </w:rPr>
        <w:t>专业人员从事此项工作。</w:t>
      </w:r>
      <w:r>
        <w:rPr>
          <w:rFonts w:hint="eastAsia" w:ascii="宋体" w:hAnsi="宋体" w:eastAsia="宋体"/>
          <w:szCs w:val="21"/>
        </w:rPr>
        <w:t>家</w:t>
      </w:r>
      <w:r>
        <w:rPr>
          <w:rFonts w:ascii="宋体" w:hAnsi="宋体" w:eastAsia="宋体"/>
          <w:szCs w:val="21"/>
        </w:rPr>
        <w:t>庭经济困难学生</w:t>
      </w:r>
      <w:r>
        <w:rPr>
          <w:rFonts w:hint="eastAsia" w:ascii="宋体" w:hAnsi="宋体" w:eastAsia="宋体"/>
          <w:szCs w:val="21"/>
        </w:rPr>
        <w:t>在</w:t>
      </w:r>
      <w:r>
        <w:rPr>
          <w:rFonts w:ascii="宋体" w:hAnsi="宋体" w:eastAsia="宋体"/>
          <w:szCs w:val="21"/>
        </w:rPr>
        <w:t>成长环境、家庭背景、</w:t>
      </w:r>
      <w:r>
        <w:rPr>
          <w:rFonts w:hint="eastAsia" w:ascii="宋体" w:hAnsi="宋体" w:eastAsia="宋体"/>
          <w:szCs w:val="21"/>
        </w:rPr>
        <w:t>性格</w:t>
      </w:r>
      <w:r>
        <w:rPr>
          <w:rFonts w:ascii="宋体" w:hAnsi="宋体" w:eastAsia="宋体"/>
          <w:szCs w:val="21"/>
        </w:rPr>
        <w:t>特征</w:t>
      </w:r>
      <w:r>
        <w:rPr>
          <w:rFonts w:hint="eastAsia" w:ascii="宋体" w:hAnsi="宋体" w:eastAsia="宋体"/>
          <w:szCs w:val="21"/>
        </w:rPr>
        <w:t>等方面</w:t>
      </w:r>
      <w:r>
        <w:rPr>
          <w:rFonts w:ascii="宋体" w:hAnsi="宋体" w:eastAsia="宋体"/>
          <w:szCs w:val="21"/>
        </w:rPr>
        <w:t>与其他学生存在差异，这就要求资助工作人员</w:t>
      </w:r>
      <w:r>
        <w:rPr>
          <w:rFonts w:hint="eastAsia" w:ascii="宋体" w:hAnsi="宋体" w:eastAsia="宋体"/>
          <w:szCs w:val="21"/>
        </w:rPr>
        <w:t>与</w:t>
      </w:r>
      <w:r>
        <w:rPr>
          <w:rFonts w:ascii="宋体" w:hAnsi="宋体" w:eastAsia="宋体"/>
          <w:szCs w:val="21"/>
        </w:rPr>
        <w:t>他们保持密切交流，关注他们的思想动态，运用</w:t>
      </w:r>
      <w:r>
        <w:rPr>
          <w:rFonts w:hint="eastAsia" w:ascii="宋体" w:hAnsi="宋体" w:eastAsia="宋体"/>
          <w:szCs w:val="21"/>
        </w:rPr>
        <w:t>科学的</w:t>
      </w:r>
      <w:r>
        <w:rPr>
          <w:rFonts w:ascii="宋体" w:hAnsi="宋体" w:eastAsia="宋体"/>
          <w:szCs w:val="21"/>
        </w:rPr>
        <w:t>方法给受助学生以指导。</w:t>
      </w:r>
    </w:p>
    <w:p>
      <w:pPr>
        <w:spacing w:line="400" w:lineRule="exact"/>
        <w:ind w:firstLine="420" w:firstLineChars="200"/>
        <w:rPr>
          <w:rFonts w:ascii="宋体" w:hAnsi="宋体" w:eastAsia="宋体"/>
          <w:szCs w:val="21"/>
        </w:rPr>
      </w:pPr>
      <w:r>
        <w:rPr>
          <w:rFonts w:hint="eastAsia" w:ascii="宋体" w:hAnsi="宋体" w:eastAsia="宋体"/>
          <w:szCs w:val="21"/>
        </w:rPr>
        <w:t>宣传</w:t>
      </w:r>
      <w:r>
        <w:rPr>
          <w:rFonts w:ascii="宋体" w:hAnsi="宋体" w:eastAsia="宋体"/>
          <w:szCs w:val="21"/>
        </w:rPr>
        <w:t>报道的</w:t>
      </w:r>
      <w:r>
        <w:rPr>
          <w:rFonts w:hint="eastAsia" w:ascii="宋体" w:hAnsi="宋体" w:eastAsia="宋体"/>
          <w:szCs w:val="21"/>
        </w:rPr>
        <w:t>及时性</w:t>
      </w:r>
      <w:r>
        <w:rPr>
          <w:rFonts w:ascii="宋体" w:hAnsi="宋体" w:eastAsia="宋体"/>
          <w:szCs w:val="21"/>
        </w:rPr>
        <w:t>。</w:t>
      </w:r>
      <w:r>
        <w:rPr>
          <w:rFonts w:hint="eastAsia" w:ascii="宋体" w:hAnsi="宋体" w:eastAsia="宋体"/>
          <w:szCs w:val="21"/>
        </w:rPr>
        <w:t>从</w:t>
      </w:r>
      <w:r>
        <w:rPr>
          <w:rFonts w:ascii="宋体" w:hAnsi="宋体" w:eastAsia="宋体"/>
          <w:szCs w:val="21"/>
        </w:rPr>
        <w:t>实际工作看来，家庭经济困难学生群体中农村学生占比较大</w:t>
      </w:r>
      <w:r>
        <w:rPr>
          <w:rFonts w:hint="eastAsia" w:ascii="宋体" w:hAnsi="宋体" w:eastAsia="宋体"/>
          <w:szCs w:val="21"/>
        </w:rPr>
        <w:t>，</w:t>
      </w:r>
      <w:r>
        <w:rPr>
          <w:rFonts w:ascii="宋体" w:hAnsi="宋体" w:eastAsia="宋体"/>
          <w:szCs w:val="21"/>
        </w:rPr>
        <w:t>而</w:t>
      </w:r>
      <w:r>
        <w:rPr>
          <w:rFonts w:hint="eastAsia" w:ascii="宋体" w:hAnsi="宋体" w:eastAsia="宋体"/>
          <w:szCs w:val="21"/>
        </w:rPr>
        <w:t>受到</w:t>
      </w:r>
      <w:r>
        <w:rPr>
          <w:rFonts w:ascii="宋体" w:hAnsi="宋体" w:eastAsia="宋体"/>
          <w:szCs w:val="21"/>
        </w:rPr>
        <w:t>信息闭塞的</w:t>
      </w:r>
      <w:r>
        <w:rPr>
          <w:rFonts w:hint="eastAsia" w:ascii="宋体" w:hAnsi="宋体" w:eastAsia="宋体"/>
          <w:szCs w:val="21"/>
        </w:rPr>
        <w:t>影响，</w:t>
      </w:r>
      <w:r>
        <w:rPr>
          <w:rFonts w:ascii="宋体" w:hAnsi="宋体" w:eastAsia="宋体"/>
          <w:szCs w:val="21"/>
        </w:rPr>
        <w:t>受助学生本人</w:t>
      </w:r>
      <w:r>
        <w:rPr>
          <w:rFonts w:hint="eastAsia" w:ascii="宋体" w:hAnsi="宋体" w:eastAsia="宋体"/>
          <w:szCs w:val="21"/>
        </w:rPr>
        <w:t>和家庭</w:t>
      </w:r>
      <w:r>
        <w:rPr>
          <w:rFonts w:ascii="宋体" w:hAnsi="宋体" w:eastAsia="宋体"/>
          <w:szCs w:val="21"/>
        </w:rPr>
        <w:t>对</w:t>
      </w:r>
      <w:r>
        <w:rPr>
          <w:rFonts w:hint="eastAsia" w:ascii="宋体" w:hAnsi="宋体" w:eastAsia="宋体"/>
          <w:szCs w:val="21"/>
        </w:rPr>
        <w:t>国家</w:t>
      </w:r>
      <w:r>
        <w:rPr>
          <w:rFonts w:ascii="宋体" w:hAnsi="宋体" w:eastAsia="宋体"/>
          <w:szCs w:val="21"/>
        </w:rPr>
        <w:t>和高校的各类资助政策的了解</w:t>
      </w:r>
      <w:r>
        <w:rPr>
          <w:rFonts w:hint="eastAsia" w:ascii="宋体" w:hAnsi="宋体" w:eastAsia="宋体"/>
          <w:szCs w:val="21"/>
        </w:rPr>
        <w:t>甚少</w:t>
      </w:r>
      <w:r>
        <w:rPr>
          <w:rFonts w:ascii="宋体" w:hAnsi="宋体" w:eastAsia="宋体"/>
          <w:szCs w:val="21"/>
        </w:rPr>
        <w:t>，</w:t>
      </w:r>
      <w:r>
        <w:rPr>
          <w:rFonts w:hint="eastAsia" w:ascii="宋体" w:hAnsi="宋体" w:eastAsia="宋体"/>
          <w:szCs w:val="21"/>
        </w:rPr>
        <w:t>这</w:t>
      </w:r>
      <w:r>
        <w:rPr>
          <w:rFonts w:ascii="宋体" w:hAnsi="宋体" w:eastAsia="宋体"/>
          <w:szCs w:val="21"/>
        </w:rPr>
        <w:t>无疑是资助</w:t>
      </w:r>
      <w:r>
        <w:rPr>
          <w:rFonts w:hint="eastAsia" w:ascii="宋体" w:hAnsi="宋体" w:eastAsia="宋体"/>
          <w:szCs w:val="21"/>
        </w:rPr>
        <w:t>育人</w:t>
      </w:r>
      <w:r>
        <w:rPr>
          <w:rFonts w:ascii="宋体" w:hAnsi="宋体" w:eastAsia="宋体"/>
          <w:szCs w:val="21"/>
        </w:rPr>
        <w:t>工作有效开展所必须克服的障碍。另一方面，</w:t>
      </w:r>
      <w:r>
        <w:rPr>
          <w:rFonts w:hint="eastAsia" w:ascii="宋体" w:hAnsi="宋体" w:eastAsia="宋体"/>
          <w:szCs w:val="21"/>
        </w:rPr>
        <w:t>榜样的</w:t>
      </w:r>
      <w:r>
        <w:rPr>
          <w:rFonts w:ascii="宋体" w:hAnsi="宋体" w:eastAsia="宋体"/>
          <w:szCs w:val="21"/>
        </w:rPr>
        <w:t>力量是巨大的，树立自强自立的学生榜样，宣传他们的奋斗事迹，对于正在受助的学生而言必将产生正向激励作用。另外，资助育人工作是</w:t>
      </w:r>
      <w:r>
        <w:rPr>
          <w:rFonts w:hint="eastAsia" w:ascii="宋体" w:hAnsi="宋体" w:eastAsia="宋体"/>
          <w:szCs w:val="21"/>
        </w:rPr>
        <w:t>一项</w:t>
      </w:r>
      <w:r>
        <w:rPr>
          <w:rFonts w:ascii="宋体" w:hAnsi="宋体" w:eastAsia="宋体"/>
          <w:szCs w:val="21"/>
        </w:rPr>
        <w:t>系统工作，需要政府、高校和家庭的共同努力</w:t>
      </w:r>
      <w:r>
        <w:rPr>
          <w:rFonts w:hint="eastAsia" w:ascii="宋体" w:hAnsi="宋体" w:eastAsia="宋体"/>
          <w:szCs w:val="21"/>
        </w:rPr>
        <w:t>和</w:t>
      </w:r>
      <w:r>
        <w:rPr>
          <w:rFonts w:ascii="宋体" w:hAnsi="宋体" w:eastAsia="宋体"/>
          <w:szCs w:val="21"/>
        </w:rPr>
        <w:t>参与</w:t>
      </w:r>
      <w:r>
        <w:rPr>
          <w:rFonts w:hint="eastAsia" w:ascii="宋体" w:hAnsi="宋体" w:eastAsia="宋体"/>
          <w:szCs w:val="21"/>
        </w:rPr>
        <w:t>。</w:t>
      </w:r>
      <w:r>
        <w:rPr>
          <w:rFonts w:ascii="宋体" w:hAnsi="宋体" w:eastAsia="宋体"/>
          <w:szCs w:val="21"/>
        </w:rPr>
        <w:t>及时的宣传</w:t>
      </w:r>
      <w:r>
        <w:rPr>
          <w:rFonts w:hint="eastAsia" w:ascii="宋体" w:hAnsi="宋体" w:eastAsia="宋体"/>
          <w:szCs w:val="21"/>
        </w:rPr>
        <w:t>报道</w:t>
      </w:r>
      <w:r>
        <w:rPr>
          <w:rFonts w:ascii="宋体" w:hAnsi="宋体" w:eastAsia="宋体"/>
          <w:szCs w:val="21"/>
        </w:rPr>
        <w:t>，有利于高校资助工作发挥</w:t>
      </w:r>
      <w:r>
        <w:rPr>
          <w:rFonts w:hint="eastAsia" w:ascii="宋体" w:hAnsi="宋体" w:eastAsia="宋体"/>
          <w:szCs w:val="21"/>
        </w:rPr>
        <w:t>“事半功倍”的</w:t>
      </w:r>
      <w:r>
        <w:rPr>
          <w:rFonts w:ascii="宋体" w:hAnsi="宋体" w:eastAsia="宋体"/>
          <w:szCs w:val="21"/>
        </w:rPr>
        <w:t>育人效果。</w:t>
      </w:r>
    </w:p>
    <w:p>
      <w:pPr>
        <w:spacing w:line="400" w:lineRule="exact"/>
        <w:ind w:firstLine="422" w:firstLineChars="200"/>
        <w:rPr>
          <w:rFonts w:ascii="宋体" w:hAnsi="宋体" w:eastAsia="宋体"/>
          <w:b/>
          <w:szCs w:val="21"/>
        </w:rPr>
      </w:pPr>
      <w:r>
        <w:rPr>
          <w:rFonts w:hint="eastAsia" w:ascii="宋体" w:hAnsi="宋体" w:eastAsia="宋体"/>
          <w:b/>
          <w:szCs w:val="21"/>
        </w:rPr>
        <w:t>（三）资助育人评价</w:t>
      </w:r>
      <w:r>
        <w:rPr>
          <w:rFonts w:ascii="宋体" w:hAnsi="宋体" w:eastAsia="宋体"/>
          <w:b/>
          <w:szCs w:val="21"/>
        </w:rPr>
        <w:t>体系指标权重的确定</w:t>
      </w:r>
    </w:p>
    <w:p>
      <w:pPr>
        <w:spacing w:line="400" w:lineRule="exact"/>
        <w:ind w:firstLine="420" w:firstLineChars="200"/>
        <w:rPr>
          <w:rFonts w:ascii="宋体" w:hAnsi="宋体" w:eastAsia="宋体"/>
          <w:szCs w:val="21"/>
        </w:rPr>
      </w:pPr>
      <w:r>
        <w:rPr>
          <w:rFonts w:hint="eastAsia" w:ascii="宋体" w:hAnsi="宋体" w:eastAsia="宋体"/>
          <w:szCs w:val="21"/>
        </w:rPr>
        <w:t>为</w:t>
      </w:r>
      <w:r>
        <w:rPr>
          <w:rFonts w:ascii="宋体" w:hAnsi="宋体" w:eastAsia="宋体"/>
          <w:szCs w:val="21"/>
        </w:rPr>
        <w:t>完善资助育人评价体系，</w:t>
      </w:r>
      <w:r>
        <w:rPr>
          <w:rFonts w:hint="eastAsia" w:ascii="宋体" w:hAnsi="宋体" w:eastAsia="宋体"/>
          <w:szCs w:val="21"/>
        </w:rPr>
        <w:t>确定</w:t>
      </w:r>
      <w:r>
        <w:rPr>
          <w:rFonts w:ascii="宋体" w:hAnsi="宋体" w:eastAsia="宋体"/>
          <w:szCs w:val="21"/>
        </w:rPr>
        <w:t>各个指标权重，</w:t>
      </w:r>
      <w:r>
        <w:rPr>
          <w:rFonts w:hint="eastAsia" w:ascii="宋体" w:hAnsi="宋体" w:eastAsia="宋体"/>
          <w:szCs w:val="21"/>
        </w:rPr>
        <w:t>本文选择长期从事高校资助工作的教师作为专家进行问卷</w:t>
      </w:r>
      <w:r>
        <w:rPr>
          <w:rFonts w:ascii="宋体" w:hAnsi="宋体" w:eastAsia="宋体"/>
          <w:szCs w:val="21"/>
        </w:rPr>
        <w:t>调查</w:t>
      </w:r>
      <w:r>
        <w:rPr>
          <w:rFonts w:hint="eastAsia" w:ascii="宋体" w:hAnsi="宋体" w:eastAsia="宋体"/>
          <w:szCs w:val="21"/>
        </w:rPr>
        <w:t>，构建起判断矩阵，计算</w:t>
      </w:r>
      <w:r>
        <w:rPr>
          <w:rFonts w:ascii="宋体" w:hAnsi="宋体" w:eastAsia="宋体"/>
          <w:szCs w:val="21"/>
        </w:rPr>
        <w:t>出</w:t>
      </w:r>
      <w:r>
        <w:rPr>
          <w:rFonts w:hint="eastAsia" w:ascii="宋体" w:hAnsi="宋体" w:eastAsia="宋体"/>
          <w:szCs w:val="21"/>
        </w:rPr>
        <w:t>各指标权重，求出最大特征值，并对</w:t>
      </w:r>
      <w:r>
        <w:rPr>
          <w:rFonts w:ascii="宋体" w:hAnsi="宋体" w:eastAsia="宋体"/>
          <w:szCs w:val="21"/>
        </w:rPr>
        <w:t>计算结果的</w:t>
      </w:r>
      <w:r>
        <w:rPr>
          <w:rFonts w:hint="eastAsia" w:ascii="宋体" w:hAnsi="宋体" w:eastAsia="宋体"/>
          <w:szCs w:val="21"/>
        </w:rPr>
        <w:t>一致性进行检验，结果如下表所示：</w:t>
      </w:r>
    </w:p>
    <w:p>
      <w:pPr>
        <w:spacing w:line="400" w:lineRule="exact"/>
        <w:jc w:val="center"/>
        <w:rPr>
          <w:rFonts w:ascii="宋体" w:hAnsi="宋体" w:eastAsia="宋体"/>
          <w:szCs w:val="21"/>
        </w:rPr>
      </w:pPr>
      <w:r>
        <w:rPr>
          <w:rFonts w:hint="eastAsia" w:ascii="宋体" w:hAnsi="宋体" w:eastAsia="宋体"/>
          <w:szCs w:val="21"/>
        </w:rPr>
        <w:t>表2 目标层各指标判断矩阵及一致性检验结果</w:t>
      </w:r>
    </w:p>
    <w:tbl>
      <w:tblPr>
        <w:tblStyle w:val="8"/>
        <w:tblW w:w="7792" w:type="dxa"/>
        <w:jc w:val="center"/>
        <w:tblLayout w:type="fixed"/>
        <w:tblCellMar>
          <w:top w:w="15" w:type="dxa"/>
          <w:left w:w="15" w:type="dxa"/>
          <w:bottom w:w="15" w:type="dxa"/>
          <w:right w:w="15" w:type="dxa"/>
        </w:tblCellMar>
      </w:tblPr>
      <w:tblGrid>
        <w:gridCol w:w="1555"/>
        <w:gridCol w:w="708"/>
        <w:gridCol w:w="709"/>
        <w:gridCol w:w="567"/>
        <w:gridCol w:w="567"/>
        <w:gridCol w:w="851"/>
        <w:gridCol w:w="567"/>
        <w:gridCol w:w="708"/>
        <w:gridCol w:w="709"/>
        <w:gridCol w:w="851"/>
      </w:tblGrid>
      <w:tr>
        <w:tblPrEx>
          <w:tblCellMar>
            <w:top w:w="15" w:type="dxa"/>
            <w:left w:w="15" w:type="dxa"/>
            <w:bottom w:w="15" w:type="dxa"/>
            <w:right w:w="15" w:type="dxa"/>
          </w:tblCellMar>
        </w:tblPrEx>
        <w:trPr>
          <w:trHeight w:val="561" w:hRule="atLeast"/>
          <w:jc w:val="center"/>
        </w:trPr>
        <w:tc>
          <w:tcPr>
            <w:tcW w:w="1555" w:type="dxa"/>
            <w:tcBorders>
              <w:top w:val="single" w:color="000000" w:themeColor="text1" w:sz="4" w:space="0"/>
              <w:bottom w:val="single" w:color="000000" w:themeColor="text1" w:sz="4" w:space="0"/>
            </w:tcBorders>
            <w:vAlign w:val="center"/>
          </w:tcPr>
          <w:p>
            <w:pPr>
              <w:widowControl/>
              <w:spacing w:line="4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高校资助育人</w:t>
            </w:r>
            <w:r>
              <w:rPr>
                <w:rFonts w:ascii="宋体" w:hAnsi="宋体" w:eastAsia="宋体" w:cs="宋体"/>
                <w:color w:val="000000"/>
                <w:kern w:val="0"/>
                <w:szCs w:val="21"/>
              </w:rPr>
              <w:t>工作评价体系</w:t>
            </w:r>
          </w:p>
        </w:tc>
        <w:tc>
          <w:tcPr>
            <w:tcW w:w="708" w:type="dxa"/>
            <w:tcBorders>
              <w:top w:val="single" w:color="000000" w:themeColor="text1" w:sz="4" w:space="0"/>
              <w:bottom w:val="single" w:color="000000" w:themeColor="text1" w:sz="4" w:space="0"/>
            </w:tcBorders>
            <w:vAlign w:val="center"/>
          </w:tcPr>
          <w:p>
            <w:pPr>
              <w:widowControl/>
              <w:spacing w:line="400" w:lineRule="exact"/>
              <w:jc w:val="center"/>
              <w:textAlignment w:val="center"/>
              <w:rPr>
                <w:rFonts w:ascii="Times New Roman" w:hAnsi="Times New Roman" w:eastAsia="宋体" w:cs="Times New Roman"/>
                <w:i/>
                <w:iCs/>
                <w:color w:val="000000"/>
                <w:szCs w:val="21"/>
              </w:rPr>
            </w:pPr>
            <w:r>
              <w:rPr>
                <w:rFonts w:ascii="Times New Roman" w:hAnsi="Times New Roman" w:eastAsia="宋体" w:cs="Times New Roman"/>
                <w:i/>
                <w:iCs/>
                <w:color w:val="000000"/>
                <w:kern w:val="0"/>
                <w:szCs w:val="21"/>
              </w:rPr>
              <w:t>B</w:t>
            </w:r>
            <w:r>
              <w:rPr>
                <w:rFonts w:ascii="Times New Roman" w:hAnsi="Times New Roman" w:eastAsia="宋体" w:cs="Times New Roman"/>
                <w:i/>
                <w:iCs/>
                <w:color w:val="000000"/>
                <w:kern w:val="0"/>
                <w:szCs w:val="21"/>
                <w:vertAlign w:val="subscript"/>
              </w:rPr>
              <w:t>1</w:t>
            </w:r>
          </w:p>
        </w:tc>
        <w:tc>
          <w:tcPr>
            <w:tcW w:w="709" w:type="dxa"/>
            <w:tcBorders>
              <w:top w:val="single" w:color="000000" w:themeColor="text1" w:sz="4" w:space="0"/>
              <w:bottom w:val="single" w:color="000000" w:themeColor="text1" w:sz="4" w:space="0"/>
            </w:tcBorders>
            <w:vAlign w:val="center"/>
          </w:tcPr>
          <w:p>
            <w:pPr>
              <w:widowControl/>
              <w:spacing w:line="400" w:lineRule="exact"/>
              <w:jc w:val="center"/>
              <w:textAlignment w:val="center"/>
              <w:rPr>
                <w:rFonts w:ascii="Times New Roman" w:hAnsi="Times New Roman" w:eastAsia="宋体" w:cs="Times New Roman"/>
                <w:i/>
                <w:iCs/>
                <w:color w:val="000000"/>
                <w:szCs w:val="21"/>
              </w:rPr>
            </w:pPr>
            <w:r>
              <w:rPr>
                <w:rFonts w:ascii="Times New Roman" w:hAnsi="Times New Roman" w:eastAsia="宋体" w:cs="Times New Roman"/>
                <w:i/>
                <w:iCs/>
                <w:color w:val="000000"/>
                <w:kern w:val="0"/>
                <w:szCs w:val="21"/>
              </w:rPr>
              <w:t>B</w:t>
            </w:r>
            <w:r>
              <w:rPr>
                <w:rFonts w:ascii="Times New Roman" w:hAnsi="Times New Roman" w:eastAsia="宋体" w:cs="Times New Roman"/>
                <w:i/>
                <w:iCs/>
                <w:color w:val="000000"/>
                <w:kern w:val="0"/>
                <w:szCs w:val="21"/>
                <w:vertAlign w:val="subscript"/>
              </w:rPr>
              <w:t>2</w:t>
            </w:r>
          </w:p>
        </w:tc>
        <w:tc>
          <w:tcPr>
            <w:tcW w:w="567" w:type="dxa"/>
            <w:tcBorders>
              <w:top w:val="single" w:color="000000" w:themeColor="text1" w:sz="4" w:space="0"/>
              <w:bottom w:val="single" w:color="000000" w:themeColor="text1" w:sz="4" w:space="0"/>
            </w:tcBorders>
            <w:vAlign w:val="center"/>
          </w:tcPr>
          <w:p>
            <w:pPr>
              <w:widowControl/>
              <w:spacing w:line="400" w:lineRule="exact"/>
              <w:jc w:val="center"/>
              <w:textAlignment w:val="center"/>
              <w:rPr>
                <w:rFonts w:ascii="Times New Roman" w:hAnsi="Times New Roman" w:eastAsia="宋体" w:cs="Times New Roman"/>
                <w:i/>
                <w:iCs/>
                <w:color w:val="000000"/>
                <w:szCs w:val="21"/>
              </w:rPr>
            </w:pPr>
            <w:r>
              <w:rPr>
                <w:rFonts w:ascii="Times New Roman" w:hAnsi="Times New Roman" w:eastAsia="宋体" w:cs="Times New Roman"/>
                <w:i/>
                <w:iCs/>
                <w:color w:val="000000"/>
                <w:kern w:val="0"/>
                <w:szCs w:val="21"/>
              </w:rPr>
              <w:t>B</w:t>
            </w:r>
            <w:r>
              <w:rPr>
                <w:rFonts w:ascii="Times New Roman" w:hAnsi="Times New Roman" w:eastAsia="宋体" w:cs="Times New Roman"/>
                <w:i/>
                <w:iCs/>
                <w:color w:val="000000"/>
                <w:kern w:val="0"/>
                <w:szCs w:val="21"/>
                <w:vertAlign w:val="subscript"/>
              </w:rPr>
              <w:t>3</w:t>
            </w:r>
          </w:p>
        </w:tc>
        <w:tc>
          <w:tcPr>
            <w:tcW w:w="567" w:type="dxa"/>
            <w:tcBorders>
              <w:top w:val="single" w:color="000000" w:themeColor="text1" w:sz="4" w:space="0"/>
              <w:bottom w:val="single" w:color="000000" w:themeColor="text1" w:sz="4" w:space="0"/>
            </w:tcBorders>
            <w:vAlign w:val="center"/>
          </w:tcPr>
          <w:p>
            <w:pPr>
              <w:widowControl/>
              <w:spacing w:line="400" w:lineRule="exact"/>
              <w:jc w:val="center"/>
              <w:textAlignment w:val="center"/>
              <w:rPr>
                <w:rFonts w:ascii="Times New Roman" w:hAnsi="Times New Roman" w:eastAsia="宋体" w:cs="Times New Roman"/>
                <w:i/>
                <w:iCs/>
                <w:color w:val="000000"/>
                <w:kern w:val="0"/>
                <w:szCs w:val="21"/>
              </w:rPr>
            </w:pPr>
            <w:r>
              <w:rPr>
                <w:rFonts w:ascii="Times New Roman" w:hAnsi="Times New Roman" w:eastAsia="宋体" w:cs="Times New Roman"/>
                <w:i/>
                <w:iCs/>
                <w:color w:val="000000"/>
                <w:kern w:val="0"/>
                <w:szCs w:val="21"/>
              </w:rPr>
              <w:t>B</w:t>
            </w:r>
            <w:r>
              <w:rPr>
                <w:rFonts w:ascii="Times New Roman" w:hAnsi="Times New Roman" w:eastAsia="宋体" w:cs="Times New Roman"/>
                <w:i/>
                <w:iCs/>
                <w:color w:val="000000"/>
                <w:kern w:val="0"/>
                <w:szCs w:val="21"/>
                <w:vertAlign w:val="subscript"/>
              </w:rPr>
              <w:t>4</w:t>
            </w:r>
          </w:p>
        </w:tc>
        <w:tc>
          <w:tcPr>
            <w:tcW w:w="851" w:type="dxa"/>
            <w:tcBorders>
              <w:top w:val="single" w:color="000000" w:themeColor="text1" w:sz="4" w:space="0"/>
              <w:bottom w:val="single" w:color="000000" w:themeColor="text1" w:sz="4" w:space="0"/>
            </w:tcBorders>
            <w:vAlign w:val="center"/>
          </w:tcPr>
          <w:p>
            <w:pPr>
              <w:spacing w:line="400" w:lineRule="exact"/>
              <w:jc w:val="center"/>
              <w:textAlignment w:val="center"/>
              <w:rPr>
                <w:rFonts w:ascii="Times New Roman" w:hAnsi="Times New Roman" w:eastAsia="宋体" w:cs="Times New Roman"/>
                <w:i/>
                <w:iCs/>
                <w:color w:val="000000"/>
                <w:kern w:val="0"/>
                <w:szCs w:val="21"/>
              </w:rPr>
            </w:pPr>
            <w:r>
              <w:rPr>
                <w:rFonts w:ascii="Times New Roman" w:hAnsi="Times New Roman" w:eastAsia="宋体" w:cs="Times New Roman"/>
                <w:i/>
                <w:iCs/>
                <w:color w:val="000000"/>
                <w:kern w:val="0"/>
                <w:szCs w:val="21"/>
              </w:rPr>
              <w:t>W</w:t>
            </w:r>
          </w:p>
        </w:tc>
        <w:tc>
          <w:tcPr>
            <w:tcW w:w="567" w:type="dxa"/>
            <w:tcBorders>
              <w:top w:val="single" w:color="000000" w:themeColor="text1" w:sz="4" w:space="0"/>
              <w:bottom w:val="single" w:color="000000" w:themeColor="text1" w:sz="4" w:space="0"/>
            </w:tcBorders>
            <w:vAlign w:val="center"/>
          </w:tcPr>
          <w:p>
            <w:pPr>
              <w:widowControl/>
              <w:spacing w:line="400" w:lineRule="exact"/>
              <w:jc w:val="center"/>
              <w:textAlignment w:val="center"/>
              <w:rPr>
                <w:rFonts w:ascii="Times New Roman" w:hAnsi="Times New Roman" w:eastAsia="宋体" w:cs="Times New Roman"/>
                <w:i/>
                <w:iCs/>
                <w:color w:val="000000"/>
                <w:kern w:val="0"/>
                <w:szCs w:val="21"/>
              </w:rPr>
            </w:pPr>
            <w:r>
              <w:rPr>
                <w:rFonts w:ascii="Times New Roman" w:hAnsi="Times New Roman" w:eastAsia="宋体" w:cs="Times New Roman"/>
                <w:i/>
                <w:iCs/>
                <w:color w:val="000000"/>
                <w:kern w:val="0"/>
                <w:position w:val="-6"/>
                <w:szCs w:val="21"/>
              </w:rPr>
              <w:object>
                <v:shape id="_x0000_i1025" o:spt="75" type="#_x0000_t75" style="height:12pt;width:24pt;" o:ole="t" filled="f" o:preferrelative="t" stroked="f" coordsize="21600,21600">
                  <v:path/>
                  <v:fill on="f" focussize="0,0"/>
                  <v:stroke on="f" joinstyle="miter"/>
                  <v:imagedata r:id="rId6" o:title=""/>
                  <o:lock v:ext="edit" aspectratio="t"/>
                  <w10:wrap type="none"/>
                  <w10:anchorlock/>
                </v:shape>
                <o:OLEObject Type="Embed" ProgID="Equation.3" ShapeID="_x0000_i1025" DrawAspect="Content" ObjectID="_1468075725" r:id="rId5">
                  <o:LockedField>false</o:LockedField>
                </o:OLEObject>
              </w:object>
            </w:r>
          </w:p>
        </w:tc>
        <w:tc>
          <w:tcPr>
            <w:tcW w:w="708" w:type="dxa"/>
            <w:tcBorders>
              <w:top w:val="single" w:color="000000" w:themeColor="text1" w:sz="4" w:space="0"/>
              <w:bottom w:val="single" w:color="000000" w:themeColor="text1" w:sz="4" w:space="0"/>
            </w:tcBorders>
            <w:vAlign w:val="center"/>
          </w:tcPr>
          <w:p>
            <w:pPr>
              <w:widowControl/>
              <w:spacing w:line="400" w:lineRule="exact"/>
              <w:jc w:val="center"/>
              <w:textAlignment w:val="center"/>
              <w:rPr>
                <w:rFonts w:ascii="Times New Roman" w:hAnsi="Times New Roman" w:eastAsia="宋体" w:cs="Times New Roman"/>
                <w:i/>
                <w:iCs/>
                <w:color w:val="000000"/>
                <w:kern w:val="0"/>
                <w:szCs w:val="21"/>
              </w:rPr>
            </w:pPr>
            <w:r>
              <w:rPr>
                <w:rFonts w:ascii="Times New Roman" w:hAnsi="Times New Roman" w:eastAsia="宋体" w:cs="Times New Roman"/>
                <w:i/>
                <w:iCs/>
                <w:color w:val="000000"/>
                <w:kern w:val="0"/>
                <w:szCs w:val="21"/>
              </w:rPr>
              <w:t>CI</w:t>
            </w:r>
          </w:p>
        </w:tc>
        <w:tc>
          <w:tcPr>
            <w:tcW w:w="709" w:type="dxa"/>
            <w:tcBorders>
              <w:top w:val="single" w:color="000000" w:themeColor="text1" w:sz="4" w:space="0"/>
              <w:bottom w:val="single" w:color="000000" w:themeColor="text1" w:sz="4" w:space="0"/>
            </w:tcBorders>
            <w:vAlign w:val="center"/>
          </w:tcPr>
          <w:p>
            <w:pPr>
              <w:widowControl/>
              <w:spacing w:line="400" w:lineRule="exact"/>
              <w:jc w:val="center"/>
              <w:textAlignment w:val="center"/>
              <w:rPr>
                <w:rFonts w:ascii="Times New Roman" w:hAnsi="Times New Roman" w:eastAsia="宋体" w:cs="Times New Roman"/>
                <w:i/>
                <w:iCs/>
                <w:color w:val="000000"/>
                <w:kern w:val="0"/>
                <w:szCs w:val="21"/>
              </w:rPr>
            </w:pPr>
            <w:r>
              <w:rPr>
                <w:rFonts w:ascii="Times New Roman" w:hAnsi="Times New Roman" w:eastAsia="宋体" w:cs="Times New Roman"/>
                <w:i/>
                <w:iCs/>
                <w:color w:val="000000"/>
                <w:kern w:val="0"/>
                <w:szCs w:val="21"/>
              </w:rPr>
              <w:t>RI</w:t>
            </w:r>
          </w:p>
        </w:tc>
        <w:tc>
          <w:tcPr>
            <w:tcW w:w="851" w:type="dxa"/>
            <w:tcBorders>
              <w:top w:val="single" w:color="000000" w:themeColor="text1" w:sz="4" w:space="0"/>
              <w:bottom w:val="single" w:color="000000" w:themeColor="text1" w:sz="4" w:space="0"/>
            </w:tcBorders>
            <w:vAlign w:val="center"/>
          </w:tcPr>
          <w:p>
            <w:pPr>
              <w:widowControl/>
              <w:spacing w:line="400" w:lineRule="exact"/>
              <w:jc w:val="center"/>
              <w:textAlignment w:val="center"/>
              <w:rPr>
                <w:rFonts w:ascii="Times New Roman" w:hAnsi="Times New Roman" w:eastAsia="宋体" w:cs="Times New Roman"/>
                <w:i/>
                <w:iCs/>
                <w:color w:val="000000"/>
                <w:kern w:val="0"/>
                <w:szCs w:val="21"/>
              </w:rPr>
            </w:pPr>
            <w:r>
              <w:rPr>
                <w:rFonts w:ascii="Times New Roman" w:hAnsi="Times New Roman" w:eastAsia="宋体" w:cs="Times New Roman"/>
                <w:i/>
                <w:iCs/>
                <w:color w:val="000000"/>
                <w:kern w:val="0"/>
                <w:szCs w:val="21"/>
              </w:rPr>
              <w:t>CR</w:t>
            </w:r>
          </w:p>
        </w:tc>
      </w:tr>
      <w:tr>
        <w:tblPrEx>
          <w:tblCellMar>
            <w:top w:w="15" w:type="dxa"/>
            <w:left w:w="15" w:type="dxa"/>
            <w:bottom w:w="15" w:type="dxa"/>
            <w:right w:w="15" w:type="dxa"/>
          </w:tblCellMar>
        </w:tblPrEx>
        <w:trPr>
          <w:trHeight w:val="280" w:hRule="atLeast"/>
          <w:jc w:val="center"/>
        </w:trPr>
        <w:tc>
          <w:tcPr>
            <w:tcW w:w="1555" w:type="dxa"/>
            <w:tcBorders>
              <w:top w:val="single" w:color="000000" w:themeColor="text1" w:sz="4" w:space="0"/>
            </w:tcBorders>
            <w:vAlign w:val="center"/>
          </w:tcPr>
          <w:p>
            <w:pPr>
              <w:widowControl/>
              <w:spacing w:line="400" w:lineRule="exact"/>
              <w:jc w:val="center"/>
              <w:textAlignment w:val="center"/>
              <w:rPr>
                <w:rFonts w:ascii="Times New Roman" w:hAnsi="Times New Roman" w:eastAsia="宋体" w:cs="Times New Roman"/>
                <w:i/>
                <w:iCs/>
                <w:color w:val="000000"/>
                <w:szCs w:val="21"/>
              </w:rPr>
            </w:pPr>
            <w:r>
              <w:rPr>
                <w:rFonts w:ascii="Times New Roman" w:hAnsi="Times New Roman" w:eastAsia="宋体" w:cs="Times New Roman"/>
                <w:i/>
                <w:iCs/>
                <w:color w:val="000000"/>
                <w:kern w:val="0"/>
                <w:szCs w:val="21"/>
              </w:rPr>
              <w:t>B</w:t>
            </w:r>
            <w:r>
              <w:rPr>
                <w:rFonts w:ascii="Times New Roman" w:hAnsi="Times New Roman" w:eastAsia="宋体" w:cs="Times New Roman"/>
                <w:i/>
                <w:iCs/>
                <w:color w:val="000000"/>
                <w:kern w:val="0"/>
                <w:szCs w:val="21"/>
                <w:vertAlign w:val="subscript"/>
              </w:rPr>
              <w:t>1</w:t>
            </w:r>
          </w:p>
        </w:tc>
        <w:tc>
          <w:tcPr>
            <w:tcW w:w="708" w:type="dxa"/>
            <w:tcBorders>
              <w:top w:val="single" w:color="000000" w:themeColor="text1" w:sz="4" w:space="0"/>
            </w:tcBorders>
            <w:vAlign w:val="bottom"/>
          </w:tcPr>
          <w:p>
            <w:pPr>
              <w:widowControl/>
              <w:spacing w:line="400" w:lineRule="exact"/>
              <w:jc w:val="center"/>
              <w:rPr>
                <w:rFonts w:ascii="宋体" w:hAnsi="宋体" w:eastAsia="宋体"/>
                <w:color w:val="000000"/>
                <w:szCs w:val="21"/>
              </w:rPr>
            </w:pPr>
            <w:r>
              <w:rPr>
                <w:rFonts w:hint="eastAsia" w:ascii="宋体" w:hAnsi="宋体" w:eastAsia="宋体"/>
                <w:color w:val="000000"/>
                <w:szCs w:val="21"/>
              </w:rPr>
              <w:t>1</w:t>
            </w:r>
          </w:p>
        </w:tc>
        <w:tc>
          <w:tcPr>
            <w:tcW w:w="709" w:type="dxa"/>
            <w:tcBorders>
              <w:top w:val="single" w:color="000000" w:themeColor="text1" w:sz="4" w:space="0"/>
            </w:tcBorders>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1/2</w:t>
            </w:r>
          </w:p>
        </w:tc>
        <w:tc>
          <w:tcPr>
            <w:tcW w:w="567" w:type="dxa"/>
            <w:tcBorders>
              <w:top w:val="single" w:color="000000" w:themeColor="text1" w:sz="4" w:space="0"/>
            </w:tcBorders>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3</w:t>
            </w:r>
          </w:p>
        </w:tc>
        <w:tc>
          <w:tcPr>
            <w:tcW w:w="567" w:type="dxa"/>
            <w:tcBorders>
              <w:top w:val="single" w:color="000000" w:themeColor="text1" w:sz="4" w:space="0"/>
            </w:tcBorders>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4</w:t>
            </w:r>
          </w:p>
        </w:tc>
        <w:tc>
          <w:tcPr>
            <w:tcW w:w="851" w:type="dxa"/>
            <w:tcBorders>
              <w:top w:val="single" w:color="000000" w:themeColor="text1" w:sz="4" w:space="0"/>
            </w:tcBorders>
            <w:vAlign w:val="bottom"/>
          </w:tcPr>
          <w:p>
            <w:pPr>
              <w:widowControl/>
              <w:spacing w:line="400" w:lineRule="exact"/>
              <w:jc w:val="center"/>
              <w:rPr>
                <w:rFonts w:ascii="宋体" w:hAnsi="宋体" w:eastAsia="宋体"/>
                <w:color w:val="000000"/>
                <w:szCs w:val="21"/>
              </w:rPr>
            </w:pPr>
            <w:r>
              <w:rPr>
                <w:rFonts w:hint="eastAsia" w:ascii="宋体" w:hAnsi="宋体" w:eastAsia="宋体"/>
                <w:color w:val="000000"/>
                <w:szCs w:val="21"/>
              </w:rPr>
              <w:t>0.3</w:t>
            </w:r>
            <w:r>
              <w:rPr>
                <w:rFonts w:ascii="宋体" w:hAnsi="宋体" w:eastAsia="宋体"/>
                <w:color w:val="000000"/>
                <w:szCs w:val="21"/>
              </w:rPr>
              <w:t>1</w:t>
            </w:r>
          </w:p>
        </w:tc>
        <w:tc>
          <w:tcPr>
            <w:tcW w:w="567" w:type="dxa"/>
            <w:vMerge w:val="restart"/>
            <w:tcBorders>
              <w:top w:val="single" w:color="000000" w:themeColor="text1" w:sz="4" w:space="0"/>
            </w:tcBorders>
            <w:vAlign w:val="center"/>
          </w:tcPr>
          <w:p>
            <w:pPr>
              <w:widowControl/>
              <w:spacing w:line="400" w:lineRule="exact"/>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4.05</w:t>
            </w:r>
          </w:p>
        </w:tc>
        <w:tc>
          <w:tcPr>
            <w:tcW w:w="708" w:type="dxa"/>
            <w:vMerge w:val="restart"/>
            <w:tcBorders>
              <w:top w:val="single" w:color="000000" w:themeColor="text1" w:sz="4" w:space="0"/>
            </w:tcBorders>
            <w:vAlign w:val="center"/>
          </w:tcPr>
          <w:p>
            <w:pPr>
              <w:widowControl/>
              <w:spacing w:line="400" w:lineRule="exact"/>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0.016</w:t>
            </w:r>
          </w:p>
        </w:tc>
        <w:tc>
          <w:tcPr>
            <w:tcW w:w="709" w:type="dxa"/>
            <w:vMerge w:val="restart"/>
            <w:tcBorders>
              <w:top w:val="single" w:color="000000" w:themeColor="text1" w:sz="4" w:space="0"/>
            </w:tcBorders>
            <w:vAlign w:val="center"/>
          </w:tcPr>
          <w:p>
            <w:pPr>
              <w:widowControl/>
              <w:spacing w:line="400" w:lineRule="exact"/>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0.9</w:t>
            </w:r>
          </w:p>
        </w:tc>
        <w:tc>
          <w:tcPr>
            <w:tcW w:w="851" w:type="dxa"/>
            <w:vMerge w:val="restart"/>
            <w:tcBorders>
              <w:top w:val="single" w:color="000000" w:themeColor="text1" w:sz="4" w:space="0"/>
            </w:tcBorders>
            <w:vAlign w:val="center"/>
          </w:tcPr>
          <w:p>
            <w:pPr>
              <w:widowControl/>
              <w:spacing w:line="400" w:lineRule="exact"/>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0.018</w:t>
            </w:r>
          </w:p>
        </w:tc>
      </w:tr>
      <w:tr>
        <w:tblPrEx>
          <w:tblCellMar>
            <w:top w:w="15" w:type="dxa"/>
            <w:left w:w="15" w:type="dxa"/>
            <w:bottom w:w="15" w:type="dxa"/>
            <w:right w:w="15" w:type="dxa"/>
          </w:tblCellMar>
        </w:tblPrEx>
        <w:trPr>
          <w:trHeight w:val="280" w:hRule="atLeast"/>
          <w:jc w:val="center"/>
        </w:trPr>
        <w:tc>
          <w:tcPr>
            <w:tcW w:w="1555" w:type="dxa"/>
            <w:vAlign w:val="center"/>
          </w:tcPr>
          <w:p>
            <w:pPr>
              <w:widowControl/>
              <w:spacing w:line="400" w:lineRule="exact"/>
              <w:jc w:val="center"/>
              <w:textAlignment w:val="center"/>
              <w:rPr>
                <w:rFonts w:ascii="Times New Roman" w:hAnsi="Times New Roman" w:eastAsia="宋体" w:cs="Times New Roman"/>
                <w:i/>
                <w:iCs/>
                <w:color w:val="000000"/>
                <w:szCs w:val="21"/>
              </w:rPr>
            </w:pPr>
            <w:r>
              <w:rPr>
                <w:rFonts w:ascii="Times New Roman" w:hAnsi="Times New Roman" w:eastAsia="宋体" w:cs="Times New Roman"/>
                <w:i/>
                <w:iCs/>
                <w:color w:val="000000"/>
                <w:kern w:val="0"/>
                <w:szCs w:val="21"/>
              </w:rPr>
              <w:t>B</w:t>
            </w:r>
            <w:r>
              <w:rPr>
                <w:rFonts w:ascii="Times New Roman" w:hAnsi="Times New Roman" w:eastAsia="宋体" w:cs="Times New Roman"/>
                <w:i/>
                <w:iCs/>
                <w:color w:val="000000"/>
                <w:kern w:val="0"/>
                <w:szCs w:val="21"/>
                <w:vertAlign w:val="subscript"/>
              </w:rPr>
              <w:t>2</w:t>
            </w:r>
          </w:p>
        </w:tc>
        <w:tc>
          <w:tcPr>
            <w:tcW w:w="708" w:type="dxa"/>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2</w:t>
            </w:r>
          </w:p>
        </w:tc>
        <w:tc>
          <w:tcPr>
            <w:tcW w:w="709" w:type="dxa"/>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1</w:t>
            </w:r>
          </w:p>
        </w:tc>
        <w:tc>
          <w:tcPr>
            <w:tcW w:w="567" w:type="dxa"/>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 xml:space="preserve">4 </w:t>
            </w:r>
          </w:p>
        </w:tc>
        <w:tc>
          <w:tcPr>
            <w:tcW w:w="567" w:type="dxa"/>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5</w:t>
            </w:r>
          </w:p>
        </w:tc>
        <w:tc>
          <w:tcPr>
            <w:tcW w:w="851" w:type="dxa"/>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0.49</w:t>
            </w:r>
          </w:p>
        </w:tc>
        <w:tc>
          <w:tcPr>
            <w:tcW w:w="567" w:type="dxa"/>
            <w:vMerge w:val="continue"/>
            <w:vAlign w:val="center"/>
          </w:tcPr>
          <w:p>
            <w:pPr>
              <w:widowControl/>
              <w:spacing w:line="400" w:lineRule="exact"/>
              <w:jc w:val="center"/>
              <w:textAlignment w:val="center"/>
              <w:rPr>
                <w:rFonts w:ascii="宋体" w:hAnsi="宋体" w:eastAsia="宋体" w:cs="宋体"/>
                <w:color w:val="000000"/>
                <w:kern w:val="0"/>
                <w:szCs w:val="21"/>
              </w:rPr>
            </w:pPr>
          </w:p>
        </w:tc>
        <w:tc>
          <w:tcPr>
            <w:tcW w:w="708" w:type="dxa"/>
            <w:vMerge w:val="continue"/>
            <w:vAlign w:val="center"/>
          </w:tcPr>
          <w:p>
            <w:pPr>
              <w:widowControl/>
              <w:spacing w:line="400" w:lineRule="exact"/>
              <w:jc w:val="center"/>
              <w:textAlignment w:val="center"/>
              <w:rPr>
                <w:rFonts w:ascii="宋体" w:hAnsi="宋体" w:eastAsia="宋体" w:cs="宋体"/>
                <w:color w:val="000000"/>
                <w:kern w:val="0"/>
                <w:szCs w:val="21"/>
              </w:rPr>
            </w:pPr>
          </w:p>
        </w:tc>
        <w:tc>
          <w:tcPr>
            <w:tcW w:w="709" w:type="dxa"/>
            <w:vMerge w:val="continue"/>
            <w:vAlign w:val="center"/>
          </w:tcPr>
          <w:p>
            <w:pPr>
              <w:widowControl/>
              <w:spacing w:line="400" w:lineRule="exact"/>
              <w:jc w:val="center"/>
              <w:textAlignment w:val="center"/>
              <w:rPr>
                <w:rFonts w:ascii="宋体" w:hAnsi="宋体" w:eastAsia="宋体" w:cs="宋体"/>
                <w:color w:val="000000"/>
                <w:kern w:val="0"/>
                <w:szCs w:val="21"/>
              </w:rPr>
            </w:pPr>
          </w:p>
        </w:tc>
        <w:tc>
          <w:tcPr>
            <w:tcW w:w="851" w:type="dxa"/>
            <w:vMerge w:val="continue"/>
            <w:vAlign w:val="center"/>
          </w:tcPr>
          <w:p>
            <w:pPr>
              <w:widowControl/>
              <w:spacing w:line="400" w:lineRule="exact"/>
              <w:jc w:val="center"/>
              <w:textAlignment w:val="center"/>
              <w:rPr>
                <w:rFonts w:ascii="宋体" w:hAnsi="宋体" w:eastAsia="宋体" w:cs="宋体"/>
                <w:color w:val="000000"/>
                <w:kern w:val="0"/>
                <w:szCs w:val="21"/>
              </w:rPr>
            </w:pPr>
          </w:p>
        </w:tc>
      </w:tr>
      <w:tr>
        <w:tblPrEx>
          <w:tblCellMar>
            <w:top w:w="15" w:type="dxa"/>
            <w:left w:w="15" w:type="dxa"/>
            <w:bottom w:w="15" w:type="dxa"/>
            <w:right w:w="15" w:type="dxa"/>
          </w:tblCellMar>
        </w:tblPrEx>
        <w:trPr>
          <w:trHeight w:val="321" w:hRule="atLeast"/>
          <w:jc w:val="center"/>
        </w:trPr>
        <w:tc>
          <w:tcPr>
            <w:tcW w:w="1555" w:type="dxa"/>
            <w:vAlign w:val="center"/>
          </w:tcPr>
          <w:p>
            <w:pPr>
              <w:widowControl/>
              <w:spacing w:line="400" w:lineRule="exact"/>
              <w:jc w:val="center"/>
              <w:textAlignment w:val="center"/>
              <w:rPr>
                <w:rFonts w:ascii="Times New Roman" w:hAnsi="Times New Roman" w:eastAsia="宋体" w:cs="Times New Roman"/>
                <w:i/>
                <w:iCs/>
                <w:color w:val="000000"/>
                <w:szCs w:val="21"/>
              </w:rPr>
            </w:pPr>
            <w:r>
              <w:rPr>
                <w:rFonts w:ascii="Times New Roman" w:hAnsi="Times New Roman" w:eastAsia="宋体" w:cs="Times New Roman"/>
                <w:i/>
                <w:iCs/>
                <w:color w:val="000000"/>
                <w:kern w:val="0"/>
                <w:szCs w:val="21"/>
              </w:rPr>
              <w:t>B</w:t>
            </w:r>
            <w:r>
              <w:rPr>
                <w:rFonts w:ascii="Times New Roman" w:hAnsi="Times New Roman" w:eastAsia="宋体" w:cs="Times New Roman"/>
                <w:i/>
                <w:iCs/>
                <w:color w:val="000000"/>
                <w:kern w:val="0"/>
                <w:szCs w:val="21"/>
                <w:vertAlign w:val="subscript"/>
              </w:rPr>
              <w:t>3</w:t>
            </w:r>
          </w:p>
        </w:tc>
        <w:tc>
          <w:tcPr>
            <w:tcW w:w="708" w:type="dxa"/>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1/3</w:t>
            </w:r>
          </w:p>
        </w:tc>
        <w:tc>
          <w:tcPr>
            <w:tcW w:w="709" w:type="dxa"/>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1/4</w:t>
            </w:r>
          </w:p>
        </w:tc>
        <w:tc>
          <w:tcPr>
            <w:tcW w:w="567" w:type="dxa"/>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1</w:t>
            </w:r>
          </w:p>
        </w:tc>
        <w:tc>
          <w:tcPr>
            <w:tcW w:w="567" w:type="dxa"/>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2</w:t>
            </w:r>
          </w:p>
        </w:tc>
        <w:tc>
          <w:tcPr>
            <w:tcW w:w="851" w:type="dxa"/>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0.12</w:t>
            </w:r>
          </w:p>
        </w:tc>
        <w:tc>
          <w:tcPr>
            <w:tcW w:w="567" w:type="dxa"/>
            <w:vMerge w:val="continue"/>
            <w:vAlign w:val="center"/>
          </w:tcPr>
          <w:p>
            <w:pPr>
              <w:widowControl/>
              <w:spacing w:line="400" w:lineRule="exact"/>
              <w:jc w:val="center"/>
              <w:textAlignment w:val="center"/>
              <w:rPr>
                <w:rFonts w:ascii="宋体" w:hAnsi="宋体" w:eastAsia="宋体" w:cs="宋体"/>
                <w:color w:val="000000"/>
                <w:kern w:val="0"/>
                <w:szCs w:val="21"/>
              </w:rPr>
            </w:pPr>
          </w:p>
        </w:tc>
        <w:tc>
          <w:tcPr>
            <w:tcW w:w="708" w:type="dxa"/>
            <w:vMerge w:val="continue"/>
            <w:vAlign w:val="center"/>
          </w:tcPr>
          <w:p>
            <w:pPr>
              <w:widowControl/>
              <w:spacing w:line="400" w:lineRule="exact"/>
              <w:jc w:val="center"/>
              <w:textAlignment w:val="center"/>
              <w:rPr>
                <w:rFonts w:ascii="宋体" w:hAnsi="宋体" w:eastAsia="宋体" w:cs="宋体"/>
                <w:color w:val="000000"/>
                <w:kern w:val="0"/>
                <w:szCs w:val="21"/>
              </w:rPr>
            </w:pPr>
          </w:p>
        </w:tc>
        <w:tc>
          <w:tcPr>
            <w:tcW w:w="709" w:type="dxa"/>
            <w:vMerge w:val="continue"/>
            <w:vAlign w:val="center"/>
          </w:tcPr>
          <w:p>
            <w:pPr>
              <w:widowControl/>
              <w:spacing w:line="400" w:lineRule="exact"/>
              <w:jc w:val="center"/>
              <w:textAlignment w:val="center"/>
              <w:rPr>
                <w:rFonts w:ascii="宋体" w:hAnsi="宋体" w:eastAsia="宋体" w:cs="宋体"/>
                <w:color w:val="000000"/>
                <w:kern w:val="0"/>
                <w:szCs w:val="21"/>
              </w:rPr>
            </w:pPr>
          </w:p>
        </w:tc>
        <w:tc>
          <w:tcPr>
            <w:tcW w:w="851" w:type="dxa"/>
            <w:vMerge w:val="continue"/>
            <w:vAlign w:val="center"/>
          </w:tcPr>
          <w:p>
            <w:pPr>
              <w:widowControl/>
              <w:spacing w:line="400" w:lineRule="exact"/>
              <w:jc w:val="center"/>
              <w:textAlignment w:val="center"/>
              <w:rPr>
                <w:rFonts w:ascii="宋体" w:hAnsi="宋体" w:eastAsia="宋体" w:cs="宋体"/>
                <w:color w:val="000000"/>
                <w:kern w:val="0"/>
                <w:szCs w:val="21"/>
              </w:rPr>
            </w:pPr>
          </w:p>
        </w:tc>
      </w:tr>
      <w:tr>
        <w:tblPrEx>
          <w:tblCellMar>
            <w:top w:w="15" w:type="dxa"/>
            <w:left w:w="15" w:type="dxa"/>
            <w:bottom w:w="15" w:type="dxa"/>
            <w:right w:w="15" w:type="dxa"/>
          </w:tblCellMar>
        </w:tblPrEx>
        <w:trPr>
          <w:trHeight w:val="321" w:hRule="atLeast"/>
          <w:jc w:val="center"/>
        </w:trPr>
        <w:tc>
          <w:tcPr>
            <w:tcW w:w="1555" w:type="dxa"/>
            <w:tcBorders>
              <w:bottom w:val="single" w:color="000000" w:themeColor="text1" w:sz="4" w:space="0"/>
            </w:tcBorders>
            <w:vAlign w:val="center"/>
          </w:tcPr>
          <w:p>
            <w:pPr>
              <w:widowControl/>
              <w:spacing w:line="400" w:lineRule="exact"/>
              <w:jc w:val="center"/>
              <w:textAlignment w:val="center"/>
              <w:rPr>
                <w:rFonts w:ascii="Times New Roman" w:hAnsi="Times New Roman" w:eastAsia="宋体" w:cs="Times New Roman"/>
                <w:i/>
                <w:iCs/>
                <w:color w:val="000000"/>
                <w:kern w:val="0"/>
                <w:szCs w:val="21"/>
              </w:rPr>
            </w:pPr>
            <w:r>
              <w:rPr>
                <w:rFonts w:ascii="Times New Roman" w:hAnsi="Times New Roman" w:eastAsia="宋体" w:cs="Times New Roman"/>
                <w:i/>
                <w:iCs/>
                <w:color w:val="000000"/>
                <w:kern w:val="0"/>
                <w:szCs w:val="21"/>
              </w:rPr>
              <w:t>B</w:t>
            </w:r>
            <w:r>
              <w:rPr>
                <w:rFonts w:ascii="Times New Roman" w:hAnsi="Times New Roman" w:eastAsia="宋体" w:cs="Times New Roman"/>
                <w:i/>
                <w:iCs/>
                <w:color w:val="000000"/>
                <w:kern w:val="0"/>
                <w:szCs w:val="21"/>
                <w:vertAlign w:val="subscript"/>
              </w:rPr>
              <w:t>4</w:t>
            </w:r>
          </w:p>
        </w:tc>
        <w:tc>
          <w:tcPr>
            <w:tcW w:w="708" w:type="dxa"/>
            <w:tcBorders>
              <w:bottom w:val="single" w:color="000000" w:themeColor="text1" w:sz="4" w:space="0"/>
            </w:tcBorders>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1/4</w:t>
            </w:r>
          </w:p>
        </w:tc>
        <w:tc>
          <w:tcPr>
            <w:tcW w:w="709" w:type="dxa"/>
            <w:tcBorders>
              <w:bottom w:val="single" w:color="000000" w:themeColor="text1" w:sz="4" w:space="0"/>
            </w:tcBorders>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1/5</w:t>
            </w:r>
          </w:p>
        </w:tc>
        <w:tc>
          <w:tcPr>
            <w:tcW w:w="567" w:type="dxa"/>
            <w:tcBorders>
              <w:bottom w:val="single" w:color="000000" w:themeColor="text1" w:sz="4" w:space="0"/>
            </w:tcBorders>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1/2</w:t>
            </w:r>
          </w:p>
        </w:tc>
        <w:tc>
          <w:tcPr>
            <w:tcW w:w="567" w:type="dxa"/>
            <w:tcBorders>
              <w:bottom w:val="single" w:color="000000" w:themeColor="text1" w:sz="4" w:space="0"/>
            </w:tcBorders>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1</w:t>
            </w:r>
          </w:p>
        </w:tc>
        <w:tc>
          <w:tcPr>
            <w:tcW w:w="851" w:type="dxa"/>
            <w:tcBorders>
              <w:bottom w:val="single" w:color="000000" w:themeColor="text1" w:sz="4" w:space="0"/>
            </w:tcBorders>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0.0</w:t>
            </w:r>
            <w:r>
              <w:rPr>
                <w:rFonts w:ascii="宋体" w:hAnsi="宋体" w:eastAsia="宋体"/>
                <w:color w:val="000000"/>
                <w:szCs w:val="21"/>
              </w:rPr>
              <w:t>8</w:t>
            </w:r>
          </w:p>
        </w:tc>
        <w:tc>
          <w:tcPr>
            <w:tcW w:w="567" w:type="dxa"/>
            <w:vMerge w:val="continue"/>
            <w:tcBorders>
              <w:bottom w:val="single" w:color="000000" w:themeColor="text1" w:sz="4" w:space="0"/>
            </w:tcBorders>
            <w:vAlign w:val="center"/>
          </w:tcPr>
          <w:p>
            <w:pPr>
              <w:widowControl/>
              <w:spacing w:line="400" w:lineRule="exact"/>
              <w:jc w:val="center"/>
              <w:textAlignment w:val="center"/>
              <w:rPr>
                <w:rFonts w:ascii="宋体" w:hAnsi="宋体" w:eastAsia="宋体" w:cs="宋体"/>
                <w:color w:val="000000"/>
                <w:kern w:val="0"/>
                <w:szCs w:val="21"/>
              </w:rPr>
            </w:pPr>
          </w:p>
        </w:tc>
        <w:tc>
          <w:tcPr>
            <w:tcW w:w="708" w:type="dxa"/>
            <w:vMerge w:val="continue"/>
            <w:tcBorders>
              <w:bottom w:val="single" w:color="000000" w:themeColor="text1" w:sz="4" w:space="0"/>
            </w:tcBorders>
            <w:vAlign w:val="center"/>
          </w:tcPr>
          <w:p>
            <w:pPr>
              <w:widowControl/>
              <w:spacing w:line="400" w:lineRule="exact"/>
              <w:jc w:val="center"/>
              <w:textAlignment w:val="center"/>
              <w:rPr>
                <w:rFonts w:ascii="宋体" w:hAnsi="宋体" w:eastAsia="宋体" w:cs="宋体"/>
                <w:color w:val="000000"/>
                <w:kern w:val="0"/>
                <w:szCs w:val="21"/>
              </w:rPr>
            </w:pPr>
          </w:p>
        </w:tc>
        <w:tc>
          <w:tcPr>
            <w:tcW w:w="709" w:type="dxa"/>
            <w:vMerge w:val="continue"/>
            <w:tcBorders>
              <w:bottom w:val="single" w:color="000000" w:themeColor="text1" w:sz="4" w:space="0"/>
            </w:tcBorders>
            <w:vAlign w:val="center"/>
          </w:tcPr>
          <w:p>
            <w:pPr>
              <w:widowControl/>
              <w:spacing w:line="400" w:lineRule="exact"/>
              <w:jc w:val="center"/>
              <w:textAlignment w:val="center"/>
              <w:rPr>
                <w:rFonts w:ascii="宋体" w:hAnsi="宋体" w:eastAsia="宋体" w:cs="宋体"/>
                <w:color w:val="000000"/>
                <w:kern w:val="0"/>
                <w:szCs w:val="21"/>
              </w:rPr>
            </w:pPr>
          </w:p>
        </w:tc>
        <w:tc>
          <w:tcPr>
            <w:tcW w:w="851" w:type="dxa"/>
            <w:vMerge w:val="continue"/>
            <w:tcBorders>
              <w:bottom w:val="single" w:color="000000" w:themeColor="text1" w:sz="4" w:space="0"/>
            </w:tcBorders>
            <w:vAlign w:val="center"/>
          </w:tcPr>
          <w:p>
            <w:pPr>
              <w:widowControl/>
              <w:spacing w:line="400" w:lineRule="exact"/>
              <w:jc w:val="center"/>
              <w:textAlignment w:val="center"/>
              <w:rPr>
                <w:rFonts w:ascii="宋体" w:hAnsi="宋体" w:eastAsia="宋体" w:cs="宋体"/>
                <w:color w:val="000000"/>
                <w:kern w:val="0"/>
                <w:szCs w:val="21"/>
              </w:rPr>
            </w:pPr>
          </w:p>
        </w:tc>
      </w:tr>
    </w:tbl>
    <w:p>
      <w:pPr>
        <w:spacing w:line="400" w:lineRule="exact"/>
        <w:rPr>
          <w:rFonts w:ascii="宋体" w:hAnsi="宋体" w:eastAsia="宋体"/>
          <w:szCs w:val="21"/>
        </w:rPr>
      </w:pPr>
    </w:p>
    <w:p>
      <w:pPr>
        <w:spacing w:line="400" w:lineRule="exact"/>
        <w:jc w:val="center"/>
        <w:rPr>
          <w:rFonts w:ascii="宋体" w:hAnsi="宋体" w:eastAsia="宋体"/>
          <w:szCs w:val="21"/>
        </w:rPr>
      </w:pPr>
    </w:p>
    <w:p>
      <w:pPr>
        <w:spacing w:line="400" w:lineRule="exact"/>
        <w:jc w:val="center"/>
        <w:rPr>
          <w:rFonts w:ascii="宋体" w:hAnsi="宋体" w:eastAsia="宋体"/>
          <w:szCs w:val="21"/>
        </w:rPr>
      </w:pPr>
    </w:p>
    <w:p>
      <w:pPr>
        <w:spacing w:line="400" w:lineRule="exact"/>
        <w:jc w:val="center"/>
        <w:rPr>
          <w:rFonts w:ascii="宋体" w:hAnsi="宋体" w:eastAsia="宋体"/>
          <w:szCs w:val="21"/>
        </w:rPr>
      </w:pPr>
    </w:p>
    <w:p>
      <w:pPr>
        <w:spacing w:line="400" w:lineRule="exact"/>
        <w:jc w:val="center"/>
        <w:rPr>
          <w:rFonts w:ascii="宋体" w:hAnsi="宋体" w:eastAsia="宋体"/>
          <w:szCs w:val="21"/>
        </w:rPr>
      </w:pPr>
      <w:r>
        <w:rPr>
          <w:rFonts w:hint="eastAsia" w:ascii="宋体" w:hAnsi="宋体" w:eastAsia="宋体"/>
          <w:szCs w:val="21"/>
        </w:rPr>
        <w:t>表3 准则层</w:t>
      </w:r>
      <w:r>
        <w:rPr>
          <w:rFonts w:ascii="Times New Roman" w:hAnsi="Times New Roman" w:eastAsia="宋体" w:cs="Times New Roman"/>
          <w:i/>
          <w:iCs/>
          <w:szCs w:val="21"/>
        </w:rPr>
        <w:t>B</w:t>
      </w:r>
      <w:r>
        <w:rPr>
          <w:rFonts w:ascii="Times New Roman" w:hAnsi="Times New Roman" w:eastAsia="宋体" w:cs="Times New Roman"/>
          <w:i/>
          <w:iCs/>
          <w:szCs w:val="21"/>
          <w:vertAlign w:val="subscript"/>
        </w:rPr>
        <w:t>1</w:t>
      </w:r>
      <w:r>
        <w:rPr>
          <w:rFonts w:hint="eastAsia" w:ascii="宋体" w:hAnsi="宋体" w:eastAsia="宋体"/>
          <w:szCs w:val="21"/>
        </w:rPr>
        <w:t>各指标</w:t>
      </w:r>
      <w:r>
        <w:rPr>
          <w:rFonts w:ascii="宋体" w:hAnsi="宋体" w:eastAsia="宋体"/>
          <w:szCs w:val="21"/>
        </w:rPr>
        <w:t>判断矩阵</w:t>
      </w:r>
      <w:r>
        <w:rPr>
          <w:rFonts w:hint="eastAsia" w:ascii="宋体" w:hAnsi="宋体" w:eastAsia="宋体"/>
          <w:szCs w:val="21"/>
        </w:rPr>
        <w:t>及</w:t>
      </w:r>
      <w:r>
        <w:rPr>
          <w:rFonts w:ascii="宋体" w:hAnsi="宋体" w:eastAsia="宋体"/>
          <w:szCs w:val="21"/>
        </w:rPr>
        <w:t>一致性检验结果</w:t>
      </w:r>
    </w:p>
    <w:tbl>
      <w:tblPr>
        <w:tblStyle w:val="8"/>
        <w:tblW w:w="7792" w:type="dxa"/>
        <w:jc w:val="center"/>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555"/>
        <w:gridCol w:w="708"/>
        <w:gridCol w:w="709"/>
        <w:gridCol w:w="567"/>
        <w:gridCol w:w="567"/>
        <w:gridCol w:w="851"/>
        <w:gridCol w:w="708"/>
        <w:gridCol w:w="709"/>
        <w:gridCol w:w="567"/>
        <w:gridCol w:w="851"/>
      </w:tblGrid>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1" w:hRule="atLeast"/>
          <w:jc w:val="center"/>
        </w:trPr>
        <w:tc>
          <w:tcPr>
            <w:tcW w:w="1555" w:type="dxa"/>
            <w:tcBorders>
              <w:top w:val="single" w:color="000000" w:themeColor="text1" w:sz="4" w:space="0"/>
              <w:bottom w:val="single" w:color="000000" w:themeColor="text1" w:sz="4" w:space="0"/>
            </w:tcBorders>
            <w:vAlign w:val="center"/>
          </w:tcPr>
          <w:p>
            <w:pPr>
              <w:widowControl/>
              <w:spacing w:line="4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奖助资金</w:t>
            </w:r>
            <w:r>
              <w:rPr>
                <w:rFonts w:ascii="宋体" w:hAnsi="宋体" w:eastAsia="宋体" w:cs="宋体"/>
                <w:color w:val="000000"/>
                <w:kern w:val="0"/>
                <w:szCs w:val="21"/>
              </w:rPr>
              <w:t>发放科学性</w:t>
            </w:r>
            <w:r>
              <w:rPr>
                <w:rFonts w:hint="eastAsia" w:ascii="宋体" w:hAnsi="宋体" w:eastAsia="宋体" w:cs="宋体"/>
                <w:i/>
                <w:iCs/>
                <w:color w:val="000000"/>
                <w:kern w:val="0"/>
                <w:szCs w:val="21"/>
              </w:rPr>
              <w:t>B</w:t>
            </w:r>
            <w:r>
              <w:rPr>
                <w:rFonts w:hint="eastAsia" w:ascii="宋体" w:hAnsi="宋体" w:eastAsia="宋体" w:cs="宋体"/>
                <w:i/>
                <w:iCs/>
                <w:color w:val="000000"/>
                <w:kern w:val="0"/>
                <w:szCs w:val="21"/>
                <w:vertAlign w:val="subscript"/>
              </w:rPr>
              <w:t>1</w:t>
            </w:r>
          </w:p>
        </w:tc>
        <w:tc>
          <w:tcPr>
            <w:tcW w:w="708" w:type="dxa"/>
            <w:tcBorders>
              <w:top w:val="single" w:color="000000" w:themeColor="text1" w:sz="4" w:space="0"/>
              <w:bottom w:val="single" w:color="000000" w:themeColor="text1" w:sz="4" w:space="0"/>
            </w:tcBorders>
            <w:vAlign w:val="center"/>
          </w:tcPr>
          <w:p>
            <w:pPr>
              <w:widowControl/>
              <w:spacing w:line="400" w:lineRule="exact"/>
              <w:jc w:val="center"/>
              <w:textAlignment w:val="center"/>
              <w:rPr>
                <w:rFonts w:ascii="Times New Roman" w:hAnsi="Times New Roman" w:eastAsia="宋体" w:cs="Times New Roman"/>
                <w:i/>
                <w:iCs/>
                <w:color w:val="000000"/>
                <w:szCs w:val="21"/>
              </w:rPr>
            </w:pPr>
            <w:r>
              <w:rPr>
                <w:rFonts w:ascii="Times New Roman" w:hAnsi="Times New Roman" w:eastAsia="宋体" w:cs="Times New Roman"/>
                <w:i/>
                <w:iCs/>
                <w:color w:val="000000"/>
                <w:kern w:val="0"/>
                <w:szCs w:val="21"/>
              </w:rPr>
              <w:t>C</w:t>
            </w:r>
            <w:r>
              <w:rPr>
                <w:rFonts w:ascii="Times New Roman" w:hAnsi="Times New Roman" w:eastAsia="宋体" w:cs="Times New Roman"/>
                <w:i/>
                <w:iCs/>
                <w:color w:val="000000"/>
                <w:kern w:val="0"/>
                <w:szCs w:val="21"/>
                <w:vertAlign w:val="subscript"/>
              </w:rPr>
              <w:t>1</w:t>
            </w:r>
          </w:p>
        </w:tc>
        <w:tc>
          <w:tcPr>
            <w:tcW w:w="709" w:type="dxa"/>
            <w:tcBorders>
              <w:top w:val="single" w:color="000000" w:themeColor="text1" w:sz="4" w:space="0"/>
              <w:bottom w:val="single" w:color="000000" w:themeColor="text1" w:sz="4" w:space="0"/>
            </w:tcBorders>
            <w:vAlign w:val="center"/>
          </w:tcPr>
          <w:p>
            <w:pPr>
              <w:widowControl/>
              <w:spacing w:line="400" w:lineRule="exact"/>
              <w:jc w:val="center"/>
              <w:textAlignment w:val="center"/>
              <w:rPr>
                <w:rFonts w:ascii="Times New Roman" w:hAnsi="Times New Roman" w:eastAsia="宋体" w:cs="Times New Roman"/>
                <w:i/>
                <w:iCs/>
                <w:color w:val="000000"/>
                <w:szCs w:val="21"/>
              </w:rPr>
            </w:pPr>
            <w:r>
              <w:rPr>
                <w:rFonts w:ascii="Times New Roman" w:hAnsi="Times New Roman" w:eastAsia="宋体" w:cs="Times New Roman"/>
                <w:i/>
                <w:iCs/>
                <w:color w:val="000000"/>
                <w:kern w:val="0"/>
                <w:szCs w:val="21"/>
              </w:rPr>
              <w:t>C</w:t>
            </w:r>
            <w:r>
              <w:rPr>
                <w:rFonts w:ascii="Times New Roman" w:hAnsi="Times New Roman" w:eastAsia="宋体" w:cs="Times New Roman"/>
                <w:i/>
                <w:iCs/>
                <w:color w:val="000000"/>
                <w:kern w:val="0"/>
                <w:szCs w:val="21"/>
                <w:vertAlign w:val="subscript"/>
              </w:rPr>
              <w:t>2</w:t>
            </w:r>
          </w:p>
        </w:tc>
        <w:tc>
          <w:tcPr>
            <w:tcW w:w="567" w:type="dxa"/>
            <w:tcBorders>
              <w:top w:val="single" w:color="000000" w:themeColor="text1" w:sz="4" w:space="0"/>
              <w:bottom w:val="single" w:color="000000" w:themeColor="text1" w:sz="4" w:space="0"/>
            </w:tcBorders>
            <w:vAlign w:val="center"/>
          </w:tcPr>
          <w:p>
            <w:pPr>
              <w:widowControl/>
              <w:spacing w:line="400" w:lineRule="exact"/>
              <w:jc w:val="center"/>
              <w:textAlignment w:val="center"/>
              <w:rPr>
                <w:rFonts w:ascii="Times New Roman" w:hAnsi="Times New Roman" w:eastAsia="宋体" w:cs="Times New Roman"/>
                <w:i/>
                <w:iCs/>
                <w:color w:val="000000"/>
                <w:szCs w:val="21"/>
              </w:rPr>
            </w:pPr>
            <w:r>
              <w:rPr>
                <w:rFonts w:ascii="Times New Roman" w:hAnsi="Times New Roman" w:eastAsia="宋体" w:cs="Times New Roman"/>
                <w:i/>
                <w:iCs/>
                <w:color w:val="000000"/>
                <w:kern w:val="0"/>
                <w:szCs w:val="21"/>
              </w:rPr>
              <w:t>C</w:t>
            </w:r>
            <w:r>
              <w:rPr>
                <w:rFonts w:ascii="Times New Roman" w:hAnsi="Times New Roman" w:eastAsia="宋体" w:cs="Times New Roman"/>
                <w:i/>
                <w:iCs/>
                <w:color w:val="000000"/>
                <w:kern w:val="0"/>
                <w:szCs w:val="21"/>
                <w:vertAlign w:val="subscript"/>
              </w:rPr>
              <w:t>3</w:t>
            </w:r>
          </w:p>
        </w:tc>
        <w:tc>
          <w:tcPr>
            <w:tcW w:w="567" w:type="dxa"/>
            <w:tcBorders>
              <w:top w:val="single" w:color="000000" w:themeColor="text1" w:sz="4" w:space="0"/>
              <w:bottom w:val="single" w:color="000000" w:themeColor="text1" w:sz="4" w:space="0"/>
            </w:tcBorders>
            <w:vAlign w:val="center"/>
          </w:tcPr>
          <w:p>
            <w:pPr>
              <w:widowControl/>
              <w:spacing w:line="400" w:lineRule="exact"/>
              <w:jc w:val="center"/>
              <w:textAlignment w:val="center"/>
              <w:rPr>
                <w:rFonts w:ascii="Times New Roman" w:hAnsi="Times New Roman" w:eastAsia="宋体" w:cs="Times New Roman"/>
                <w:i/>
                <w:iCs/>
                <w:color w:val="000000"/>
                <w:kern w:val="0"/>
                <w:szCs w:val="21"/>
              </w:rPr>
            </w:pPr>
            <w:r>
              <w:rPr>
                <w:rFonts w:ascii="Times New Roman" w:hAnsi="Times New Roman" w:eastAsia="宋体" w:cs="Times New Roman"/>
                <w:i/>
                <w:iCs/>
                <w:color w:val="000000"/>
                <w:kern w:val="0"/>
                <w:szCs w:val="21"/>
              </w:rPr>
              <w:t>C</w:t>
            </w:r>
            <w:r>
              <w:rPr>
                <w:rFonts w:ascii="Times New Roman" w:hAnsi="Times New Roman" w:eastAsia="宋体" w:cs="Times New Roman"/>
                <w:i/>
                <w:iCs/>
                <w:color w:val="000000"/>
                <w:kern w:val="0"/>
                <w:szCs w:val="21"/>
                <w:vertAlign w:val="subscript"/>
              </w:rPr>
              <w:t>4</w:t>
            </w:r>
          </w:p>
        </w:tc>
        <w:tc>
          <w:tcPr>
            <w:tcW w:w="851" w:type="dxa"/>
            <w:tcBorders>
              <w:top w:val="single" w:color="000000" w:themeColor="text1" w:sz="4" w:space="0"/>
              <w:bottom w:val="single" w:color="000000" w:themeColor="text1" w:sz="4" w:space="0"/>
            </w:tcBorders>
            <w:vAlign w:val="center"/>
          </w:tcPr>
          <w:p>
            <w:pPr>
              <w:spacing w:line="400" w:lineRule="exact"/>
              <w:jc w:val="center"/>
              <w:textAlignment w:val="center"/>
              <w:rPr>
                <w:rFonts w:ascii="Times New Roman" w:hAnsi="Times New Roman" w:eastAsia="宋体" w:cs="Times New Roman"/>
                <w:i/>
                <w:iCs/>
                <w:color w:val="000000"/>
                <w:kern w:val="0"/>
                <w:szCs w:val="21"/>
              </w:rPr>
            </w:pPr>
            <w:r>
              <w:rPr>
                <w:rFonts w:ascii="Times New Roman" w:hAnsi="Times New Roman" w:eastAsia="宋体" w:cs="Times New Roman"/>
                <w:i/>
                <w:iCs/>
                <w:color w:val="000000"/>
                <w:kern w:val="0"/>
                <w:szCs w:val="21"/>
              </w:rPr>
              <w:t>W</w:t>
            </w:r>
          </w:p>
        </w:tc>
        <w:tc>
          <w:tcPr>
            <w:tcW w:w="708" w:type="dxa"/>
            <w:tcBorders>
              <w:top w:val="single" w:color="000000" w:themeColor="text1" w:sz="4" w:space="0"/>
              <w:bottom w:val="single" w:color="000000" w:themeColor="text1" w:sz="4" w:space="0"/>
            </w:tcBorders>
            <w:vAlign w:val="center"/>
          </w:tcPr>
          <w:p>
            <w:pPr>
              <w:widowControl/>
              <w:spacing w:line="400" w:lineRule="exact"/>
              <w:jc w:val="center"/>
              <w:textAlignment w:val="center"/>
              <w:rPr>
                <w:rFonts w:ascii="Times New Roman" w:hAnsi="Times New Roman" w:eastAsia="宋体" w:cs="Times New Roman"/>
                <w:i/>
                <w:iCs/>
                <w:color w:val="000000"/>
                <w:kern w:val="0"/>
                <w:szCs w:val="21"/>
              </w:rPr>
            </w:pPr>
            <w:r>
              <w:rPr>
                <w:rFonts w:ascii="Times New Roman" w:hAnsi="Times New Roman" w:eastAsia="宋体" w:cs="Times New Roman"/>
                <w:i/>
                <w:iCs/>
                <w:color w:val="000000"/>
                <w:kern w:val="0"/>
                <w:position w:val="-6"/>
                <w:szCs w:val="21"/>
              </w:rPr>
              <w:object>
                <v:shape id="_x0000_i1026" o:spt="75" type="#_x0000_t75" style="height:12pt;width:24pt;" o:ole="t" filled="f" o:preferrelative="t" stroked="f" coordsize="21600,21600">
                  <v:path/>
                  <v:fill on="f" focussize="0,0"/>
                  <v:stroke on="f" joinstyle="miter"/>
                  <v:imagedata r:id="rId6" o:title=""/>
                  <o:lock v:ext="edit" aspectratio="t"/>
                  <w10:wrap type="none"/>
                  <w10:anchorlock/>
                </v:shape>
                <o:OLEObject Type="Embed" ProgID="Equation.3" ShapeID="_x0000_i1026" DrawAspect="Content" ObjectID="_1468075726" r:id="rId7">
                  <o:LockedField>false</o:LockedField>
                </o:OLEObject>
              </w:object>
            </w:r>
          </w:p>
        </w:tc>
        <w:tc>
          <w:tcPr>
            <w:tcW w:w="709" w:type="dxa"/>
            <w:tcBorders>
              <w:top w:val="single" w:color="000000" w:themeColor="text1" w:sz="4" w:space="0"/>
              <w:bottom w:val="single" w:color="000000" w:themeColor="text1" w:sz="4" w:space="0"/>
            </w:tcBorders>
            <w:vAlign w:val="center"/>
          </w:tcPr>
          <w:p>
            <w:pPr>
              <w:widowControl/>
              <w:spacing w:line="400" w:lineRule="exact"/>
              <w:jc w:val="center"/>
              <w:textAlignment w:val="center"/>
              <w:rPr>
                <w:rFonts w:ascii="Times New Roman" w:hAnsi="Times New Roman" w:eastAsia="宋体" w:cs="Times New Roman"/>
                <w:i/>
                <w:iCs/>
                <w:color w:val="000000"/>
                <w:kern w:val="0"/>
                <w:szCs w:val="21"/>
              </w:rPr>
            </w:pPr>
            <w:r>
              <w:rPr>
                <w:rFonts w:ascii="Times New Roman" w:hAnsi="Times New Roman" w:eastAsia="宋体" w:cs="Times New Roman"/>
                <w:i/>
                <w:iCs/>
                <w:color w:val="000000"/>
                <w:kern w:val="0"/>
                <w:szCs w:val="21"/>
              </w:rPr>
              <w:t>CI</w:t>
            </w:r>
          </w:p>
        </w:tc>
        <w:tc>
          <w:tcPr>
            <w:tcW w:w="567" w:type="dxa"/>
            <w:tcBorders>
              <w:top w:val="single" w:color="000000" w:themeColor="text1" w:sz="4" w:space="0"/>
              <w:bottom w:val="single" w:color="000000" w:themeColor="text1" w:sz="4" w:space="0"/>
            </w:tcBorders>
            <w:vAlign w:val="center"/>
          </w:tcPr>
          <w:p>
            <w:pPr>
              <w:widowControl/>
              <w:spacing w:line="400" w:lineRule="exact"/>
              <w:jc w:val="center"/>
              <w:textAlignment w:val="center"/>
              <w:rPr>
                <w:rFonts w:ascii="Times New Roman" w:hAnsi="Times New Roman" w:eastAsia="宋体" w:cs="Times New Roman"/>
                <w:i/>
                <w:iCs/>
                <w:color w:val="000000"/>
                <w:kern w:val="0"/>
                <w:szCs w:val="21"/>
              </w:rPr>
            </w:pPr>
            <w:r>
              <w:rPr>
                <w:rFonts w:ascii="Times New Roman" w:hAnsi="Times New Roman" w:eastAsia="宋体" w:cs="Times New Roman"/>
                <w:i/>
                <w:iCs/>
                <w:color w:val="000000"/>
                <w:kern w:val="0"/>
                <w:szCs w:val="21"/>
              </w:rPr>
              <w:t>RI</w:t>
            </w:r>
          </w:p>
        </w:tc>
        <w:tc>
          <w:tcPr>
            <w:tcW w:w="851" w:type="dxa"/>
            <w:tcBorders>
              <w:top w:val="single" w:color="000000" w:themeColor="text1" w:sz="4" w:space="0"/>
              <w:bottom w:val="single" w:color="000000" w:themeColor="text1" w:sz="4" w:space="0"/>
            </w:tcBorders>
            <w:vAlign w:val="center"/>
          </w:tcPr>
          <w:p>
            <w:pPr>
              <w:widowControl/>
              <w:spacing w:line="400" w:lineRule="exact"/>
              <w:jc w:val="center"/>
              <w:textAlignment w:val="center"/>
              <w:rPr>
                <w:rFonts w:ascii="Times New Roman" w:hAnsi="Times New Roman" w:eastAsia="宋体" w:cs="Times New Roman"/>
                <w:i/>
                <w:iCs/>
                <w:color w:val="000000"/>
                <w:kern w:val="0"/>
                <w:szCs w:val="21"/>
              </w:rPr>
            </w:pPr>
            <w:r>
              <w:rPr>
                <w:rFonts w:ascii="Times New Roman" w:hAnsi="Times New Roman" w:eastAsia="宋体" w:cs="Times New Roman"/>
                <w:i/>
                <w:iCs/>
                <w:color w:val="000000"/>
                <w:kern w:val="0"/>
                <w:szCs w:val="21"/>
              </w:rPr>
              <w:t>CR</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0" w:hRule="atLeast"/>
          <w:jc w:val="center"/>
        </w:trPr>
        <w:tc>
          <w:tcPr>
            <w:tcW w:w="1555" w:type="dxa"/>
            <w:tcBorders>
              <w:top w:val="single" w:color="000000" w:themeColor="text1" w:sz="4" w:space="0"/>
            </w:tcBorders>
            <w:vAlign w:val="center"/>
          </w:tcPr>
          <w:p>
            <w:pPr>
              <w:widowControl/>
              <w:spacing w:line="400" w:lineRule="exact"/>
              <w:jc w:val="center"/>
              <w:textAlignment w:val="center"/>
              <w:rPr>
                <w:rFonts w:ascii="Times New Roman" w:hAnsi="Times New Roman" w:eastAsia="宋体" w:cs="Times New Roman"/>
                <w:i/>
                <w:iCs/>
                <w:color w:val="000000"/>
                <w:szCs w:val="21"/>
              </w:rPr>
            </w:pPr>
            <w:r>
              <w:rPr>
                <w:rFonts w:ascii="Times New Roman" w:hAnsi="Times New Roman" w:eastAsia="宋体" w:cs="Times New Roman"/>
                <w:i/>
                <w:iCs/>
                <w:color w:val="000000"/>
                <w:kern w:val="0"/>
                <w:szCs w:val="21"/>
              </w:rPr>
              <w:t>C</w:t>
            </w:r>
            <w:r>
              <w:rPr>
                <w:rFonts w:ascii="Times New Roman" w:hAnsi="Times New Roman" w:eastAsia="宋体" w:cs="Times New Roman"/>
                <w:i/>
                <w:iCs/>
                <w:color w:val="000000"/>
                <w:kern w:val="0"/>
                <w:szCs w:val="21"/>
                <w:vertAlign w:val="subscript"/>
              </w:rPr>
              <w:t>1</w:t>
            </w:r>
          </w:p>
        </w:tc>
        <w:tc>
          <w:tcPr>
            <w:tcW w:w="708" w:type="dxa"/>
            <w:tcBorders>
              <w:top w:val="single" w:color="000000" w:themeColor="text1" w:sz="4" w:space="0"/>
            </w:tcBorders>
            <w:vAlign w:val="bottom"/>
          </w:tcPr>
          <w:p>
            <w:pPr>
              <w:widowControl/>
              <w:spacing w:line="400" w:lineRule="exact"/>
              <w:jc w:val="center"/>
              <w:rPr>
                <w:rFonts w:ascii="宋体" w:hAnsi="宋体" w:eastAsia="宋体"/>
                <w:color w:val="000000"/>
                <w:szCs w:val="21"/>
              </w:rPr>
            </w:pPr>
            <w:r>
              <w:rPr>
                <w:rFonts w:hint="eastAsia" w:ascii="宋体" w:hAnsi="宋体" w:eastAsia="宋体"/>
                <w:color w:val="000000"/>
                <w:szCs w:val="21"/>
              </w:rPr>
              <w:t>1</w:t>
            </w:r>
          </w:p>
        </w:tc>
        <w:tc>
          <w:tcPr>
            <w:tcW w:w="709" w:type="dxa"/>
            <w:tcBorders>
              <w:top w:val="single" w:color="000000" w:themeColor="text1" w:sz="4" w:space="0"/>
            </w:tcBorders>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 xml:space="preserve">4    </w:t>
            </w:r>
          </w:p>
        </w:tc>
        <w:tc>
          <w:tcPr>
            <w:tcW w:w="567" w:type="dxa"/>
            <w:tcBorders>
              <w:top w:val="single" w:color="000000" w:themeColor="text1" w:sz="4" w:space="0"/>
            </w:tcBorders>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3</w:t>
            </w:r>
          </w:p>
        </w:tc>
        <w:tc>
          <w:tcPr>
            <w:tcW w:w="567" w:type="dxa"/>
            <w:tcBorders>
              <w:top w:val="single" w:color="000000" w:themeColor="text1" w:sz="4" w:space="0"/>
            </w:tcBorders>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2</w:t>
            </w:r>
          </w:p>
        </w:tc>
        <w:tc>
          <w:tcPr>
            <w:tcW w:w="851" w:type="dxa"/>
            <w:tcBorders>
              <w:top w:val="single" w:color="000000" w:themeColor="text1" w:sz="4" w:space="0"/>
            </w:tcBorders>
            <w:vAlign w:val="bottom"/>
          </w:tcPr>
          <w:p>
            <w:pPr>
              <w:widowControl/>
              <w:spacing w:line="400" w:lineRule="exact"/>
              <w:jc w:val="center"/>
              <w:rPr>
                <w:rFonts w:ascii="宋体" w:hAnsi="宋体" w:eastAsia="宋体"/>
                <w:color w:val="000000"/>
                <w:szCs w:val="21"/>
              </w:rPr>
            </w:pPr>
            <w:r>
              <w:rPr>
                <w:rFonts w:hint="eastAsia" w:ascii="宋体" w:hAnsi="宋体" w:eastAsia="宋体"/>
                <w:color w:val="000000"/>
                <w:szCs w:val="21"/>
              </w:rPr>
              <w:t>0.4</w:t>
            </w:r>
            <w:r>
              <w:rPr>
                <w:rFonts w:ascii="宋体" w:hAnsi="宋体" w:eastAsia="宋体"/>
                <w:color w:val="000000"/>
                <w:szCs w:val="21"/>
              </w:rPr>
              <w:t>6</w:t>
            </w:r>
          </w:p>
        </w:tc>
        <w:tc>
          <w:tcPr>
            <w:tcW w:w="708" w:type="dxa"/>
            <w:vMerge w:val="restart"/>
            <w:tcBorders>
              <w:top w:val="single" w:color="000000" w:themeColor="text1" w:sz="4" w:space="0"/>
            </w:tcBorders>
            <w:vAlign w:val="center"/>
          </w:tcPr>
          <w:p>
            <w:pPr>
              <w:widowControl/>
              <w:spacing w:line="400" w:lineRule="exact"/>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4.22</w:t>
            </w:r>
          </w:p>
        </w:tc>
        <w:tc>
          <w:tcPr>
            <w:tcW w:w="709" w:type="dxa"/>
            <w:vMerge w:val="restart"/>
            <w:tcBorders>
              <w:top w:val="single" w:color="000000" w:themeColor="text1" w:sz="4" w:space="0"/>
            </w:tcBorders>
            <w:vAlign w:val="center"/>
          </w:tcPr>
          <w:p>
            <w:pPr>
              <w:widowControl/>
              <w:spacing w:line="400" w:lineRule="exact"/>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0</w:t>
            </w:r>
            <w:r>
              <w:rPr>
                <w:rFonts w:ascii="宋体" w:hAnsi="宋体" w:eastAsia="宋体" w:cs="宋体"/>
                <w:color w:val="000000"/>
                <w:kern w:val="0"/>
                <w:szCs w:val="21"/>
              </w:rPr>
              <w:t>.072</w:t>
            </w:r>
          </w:p>
        </w:tc>
        <w:tc>
          <w:tcPr>
            <w:tcW w:w="567" w:type="dxa"/>
            <w:vMerge w:val="restart"/>
            <w:tcBorders>
              <w:top w:val="single" w:color="000000" w:themeColor="text1" w:sz="4" w:space="0"/>
            </w:tcBorders>
            <w:vAlign w:val="center"/>
          </w:tcPr>
          <w:p>
            <w:pPr>
              <w:widowControl/>
              <w:spacing w:line="400" w:lineRule="exact"/>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0.9</w:t>
            </w:r>
          </w:p>
        </w:tc>
        <w:tc>
          <w:tcPr>
            <w:tcW w:w="851" w:type="dxa"/>
            <w:vMerge w:val="restart"/>
            <w:tcBorders>
              <w:top w:val="single" w:color="000000" w:themeColor="text1" w:sz="4" w:space="0"/>
            </w:tcBorders>
            <w:vAlign w:val="center"/>
          </w:tcPr>
          <w:p>
            <w:pPr>
              <w:widowControl/>
              <w:spacing w:line="400" w:lineRule="exact"/>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0.08</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0" w:hRule="atLeast"/>
          <w:jc w:val="center"/>
        </w:trPr>
        <w:tc>
          <w:tcPr>
            <w:tcW w:w="1555" w:type="dxa"/>
            <w:vAlign w:val="center"/>
          </w:tcPr>
          <w:p>
            <w:pPr>
              <w:widowControl/>
              <w:spacing w:line="400" w:lineRule="exact"/>
              <w:jc w:val="center"/>
              <w:textAlignment w:val="center"/>
              <w:rPr>
                <w:rFonts w:ascii="Times New Roman" w:hAnsi="Times New Roman" w:eastAsia="宋体" w:cs="Times New Roman"/>
                <w:i/>
                <w:iCs/>
                <w:color w:val="000000"/>
                <w:szCs w:val="21"/>
              </w:rPr>
            </w:pPr>
            <w:r>
              <w:rPr>
                <w:rFonts w:ascii="Times New Roman" w:hAnsi="Times New Roman" w:eastAsia="宋体" w:cs="Times New Roman"/>
                <w:i/>
                <w:iCs/>
                <w:color w:val="000000"/>
                <w:kern w:val="0"/>
                <w:szCs w:val="21"/>
              </w:rPr>
              <w:t>C</w:t>
            </w:r>
            <w:r>
              <w:rPr>
                <w:rFonts w:ascii="Times New Roman" w:hAnsi="Times New Roman" w:eastAsia="宋体" w:cs="Times New Roman"/>
                <w:i/>
                <w:iCs/>
                <w:color w:val="000000"/>
                <w:kern w:val="0"/>
                <w:szCs w:val="21"/>
                <w:vertAlign w:val="subscript"/>
              </w:rPr>
              <w:t>2</w:t>
            </w:r>
          </w:p>
        </w:tc>
        <w:tc>
          <w:tcPr>
            <w:tcW w:w="708" w:type="dxa"/>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 xml:space="preserve"> 1/4</w:t>
            </w:r>
          </w:p>
        </w:tc>
        <w:tc>
          <w:tcPr>
            <w:tcW w:w="709" w:type="dxa"/>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1</w:t>
            </w:r>
          </w:p>
        </w:tc>
        <w:tc>
          <w:tcPr>
            <w:tcW w:w="567" w:type="dxa"/>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 xml:space="preserve"> 1/3</w:t>
            </w:r>
          </w:p>
        </w:tc>
        <w:tc>
          <w:tcPr>
            <w:tcW w:w="567" w:type="dxa"/>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 xml:space="preserve"> 1/2</w:t>
            </w:r>
          </w:p>
        </w:tc>
        <w:tc>
          <w:tcPr>
            <w:tcW w:w="851" w:type="dxa"/>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0.09</w:t>
            </w:r>
          </w:p>
        </w:tc>
        <w:tc>
          <w:tcPr>
            <w:tcW w:w="708" w:type="dxa"/>
            <w:vMerge w:val="continue"/>
            <w:vAlign w:val="center"/>
          </w:tcPr>
          <w:p>
            <w:pPr>
              <w:widowControl/>
              <w:spacing w:line="400" w:lineRule="exact"/>
              <w:jc w:val="center"/>
              <w:textAlignment w:val="center"/>
              <w:rPr>
                <w:rFonts w:ascii="宋体" w:hAnsi="宋体" w:eastAsia="宋体" w:cs="宋体"/>
                <w:color w:val="000000"/>
                <w:kern w:val="0"/>
                <w:szCs w:val="21"/>
              </w:rPr>
            </w:pPr>
          </w:p>
        </w:tc>
        <w:tc>
          <w:tcPr>
            <w:tcW w:w="709" w:type="dxa"/>
            <w:vMerge w:val="continue"/>
            <w:vAlign w:val="center"/>
          </w:tcPr>
          <w:p>
            <w:pPr>
              <w:widowControl/>
              <w:spacing w:line="400" w:lineRule="exact"/>
              <w:jc w:val="center"/>
              <w:textAlignment w:val="center"/>
              <w:rPr>
                <w:rFonts w:ascii="宋体" w:hAnsi="宋体" w:eastAsia="宋体" w:cs="宋体"/>
                <w:color w:val="000000"/>
                <w:kern w:val="0"/>
                <w:szCs w:val="21"/>
              </w:rPr>
            </w:pPr>
          </w:p>
        </w:tc>
        <w:tc>
          <w:tcPr>
            <w:tcW w:w="567" w:type="dxa"/>
            <w:vMerge w:val="continue"/>
            <w:vAlign w:val="center"/>
          </w:tcPr>
          <w:p>
            <w:pPr>
              <w:widowControl/>
              <w:spacing w:line="400" w:lineRule="exact"/>
              <w:jc w:val="center"/>
              <w:textAlignment w:val="center"/>
              <w:rPr>
                <w:rFonts w:ascii="宋体" w:hAnsi="宋体" w:eastAsia="宋体" w:cs="宋体"/>
                <w:color w:val="000000"/>
                <w:kern w:val="0"/>
                <w:szCs w:val="21"/>
              </w:rPr>
            </w:pPr>
          </w:p>
        </w:tc>
        <w:tc>
          <w:tcPr>
            <w:tcW w:w="851" w:type="dxa"/>
            <w:vMerge w:val="continue"/>
            <w:vAlign w:val="center"/>
          </w:tcPr>
          <w:p>
            <w:pPr>
              <w:widowControl/>
              <w:spacing w:line="400" w:lineRule="exact"/>
              <w:jc w:val="center"/>
              <w:textAlignment w:val="center"/>
              <w:rPr>
                <w:rFonts w:ascii="宋体" w:hAnsi="宋体" w:eastAsia="宋体" w:cs="宋体"/>
                <w:color w:val="000000"/>
                <w:kern w:val="0"/>
                <w:szCs w:val="21"/>
              </w:rPr>
            </w:pP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1" w:hRule="atLeast"/>
          <w:jc w:val="center"/>
        </w:trPr>
        <w:tc>
          <w:tcPr>
            <w:tcW w:w="1555" w:type="dxa"/>
            <w:vAlign w:val="center"/>
          </w:tcPr>
          <w:p>
            <w:pPr>
              <w:widowControl/>
              <w:spacing w:line="400" w:lineRule="exact"/>
              <w:jc w:val="center"/>
              <w:textAlignment w:val="center"/>
              <w:rPr>
                <w:rFonts w:ascii="Times New Roman" w:hAnsi="Times New Roman" w:eastAsia="宋体" w:cs="Times New Roman"/>
                <w:i/>
                <w:iCs/>
                <w:color w:val="000000"/>
                <w:szCs w:val="21"/>
              </w:rPr>
            </w:pPr>
            <w:r>
              <w:rPr>
                <w:rFonts w:ascii="Times New Roman" w:hAnsi="Times New Roman" w:eastAsia="宋体" w:cs="Times New Roman"/>
                <w:i/>
                <w:iCs/>
                <w:color w:val="000000"/>
                <w:kern w:val="0"/>
                <w:szCs w:val="21"/>
              </w:rPr>
              <w:t>C</w:t>
            </w:r>
            <w:r>
              <w:rPr>
                <w:rFonts w:ascii="Times New Roman" w:hAnsi="Times New Roman" w:eastAsia="宋体" w:cs="Times New Roman"/>
                <w:i/>
                <w:iCs/>
                <w:color w:val="000000"/>
                <w:kern w:val="0"/>
                <w:szCs w:val="21"/>
                <w:vertAlign w:val="subscript"/>
              </w:rPr>
              <w:t>3</w:t>
            </w:r>
          </w:p>
        </w:tc>
        <w:tc>
          <w:tcPr>
            <w:tcW w:w="708" w:type="dxa"/>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 xml:space="preserve"> 1/3</w:t>
            </w:r>
          </w:p>
        </w:tc>
        <w:tc>
          <w:tcPr>
            <w:tcW w:w="709" w:type="dxa"/>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 xml:space="preserve">3    </w:t>
            </w:r>
          </w:p>
        </w:tc>
        <w:tc>
          <w:tcPr>
            <w:tcW w:w="567" w:type="dxa"/>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1</w:t>
            </w:r>
          </w:p>
        </w:tc>
        <w:tc>
          <w:tcPr>
            <w:tcW w:w="567" w:type="dxa"/>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 xml:space="preserve"> 1/2</w:t>
            </w:r>
          </w:p>
        </w:tc>
        <w:tc>
          <w:tcPr>
            <w:tcW w:w="851" w:type="dxa"/>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0.1</w:t>
            </w:r>
            <w:r>
              <w:rPr>
                <w:rFonts w:ascii="宋体" w:hAnsi="宋体" w:eastAsia="宋体"/>
                <w:color w:val="000000"/>
                <w:szCs w:val="21"/>
              </w:rPr>
              <w:t>8</w:t>
            </w:r>
          </w:p>
        </w:tc>
        <w:tc>
          <w:tcPr>
            <w:tcW w:w="708" w:type="dxa"/>
            <w:vMerge w:val="continue"/>
            <w:vAlign w:val="center"/>
          </w:tcPr>
          <w:p>
            <w:pPr>
              <w:widowControl/>
              <w:spacing w:line="400" w:lineRule="exact"/>
              <w:jc w:val="center"/>
              <w:textAlignment w:val="center"/>
              <w:rPr>
                <w:rFonts w:ascii="宋体" w:hAnsi="宋体" w:eastAsia="宋体" w:cs="宋体"/>
                <w:color w:val="000000"/>
                <w:kern w:val="0"/>
                <w:szCs w:val="21"/>
              </w:rPr>
            </w:pPr>
          </w:p>
        </w:tc>
        <w:tc>
          <w:tcPr>
            <w:tcW w:w="709" w:type="dxa"/>
            <w:vMerge w:val="continue"/>
            <w:vAlign w:val="center"/>
          </w:tcPr>
          <w:p>
            <w:pPr>
              <w:widowControl/>
              <w:spacing w:line="400" w:lineRule="exact"/>
              <w:jc w:val="center"/>
              <w:textAlignment w:val="center"/>
              <w:rPr>
                <w:rFonts w:ascii="宋体" w:hAnsi="宋体" w:eastAsia="宋体" w:cs="宋体"/>
                <w:color w:val="000000"/>
                <w:kern w:val="0"/>
                <w:szCs w:val="21"/>
              </w:rPr>
            </w:pPr>
          </w:p>
        </w:tc>
        <w:tc>
          <w:tcPr>
            <w:tcW w:w="567" w:type="dxa"/>
            <w:vMerge w:val="continue"/>
            <w:vAlign w:val="center"/>
          </w:tcPr>
          <w:p>
            <w:pPr>
              <w:widowControl/>
              <w:spacing w:line="400" w:lineRule="exact"/>
              <w:jc w:val="center"/>
              <w:textAlignment w:val="center"/>
              <w:rPr>
                <w:rFonts w:ascii="宋体" w:hAnsi="宋体" w:eastAsia="宋体" w:cs="宋体"/>
                <w:color w:val="000000"/>
                <w:kern w:val="0"/>
                <w:szCs w:val="21"/>
              </w:rPr>
            </w:pPr>
          </w:p>
        </w:tc>
        <w:tc>
          <w:tcPr>
            <w:tcW w:w="851" w:type="dxa"/>
            <w:vMerge w:val="continue"/>
            <w:vAlign w:val="center"/>
          </w:tcPr>
          <w:p>
            <w:pPr>
              <w:widowControl/>
              <w:spacing w:line="400" w:lineRule="exact"/>
              <w:jc w:val="center"/>
              <w:textAlignment w:val="center"/>
              <w:rPr>
                <w:rFonts w:ascii="宋体" w:hAnsi="宋体" w:eastAsia="宋体" w:cs="宋体"/>
                <w:color w:val="000000"/>
                <w:kern w:val="0"/>
                <w:szCs w:val="21"/>
              </w:rPr>
            </w:pP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1" w:hRule="atLeast"/>
          <w:jc w:val="center"/>
        </w:trPr>
        <w:tc>
          <w:tcPr>
            <w:tcW w:w="1555" w:type="dxa"/>
            <w:vAlign w:val="center"/>
          </w:tcPr>
          <w:p>
            <w:pPr>
              <w:widowControl/>
              <w:spacing w:line="400" w:lineRule="exact"/>
              <w:jc w:val="center"/>
              <w:textAlignment w:val="center"/>
              <w:rPr>
                <w:rFonts w:ascii="Times New Roman" w:hAnsi="Times New Roman" w:eastAsia="宋体" w:cs="Times New Roman"/>
                <w:i/>
                <w:iCs/>
                <w:color w:val="000000"/>
                <w:kern w:val="0"/>
                <w:szCs w:val="21"/>
              </w:rPr>
            </w:pPr>
            <w:r>
              <w:rPr>
                <w:rFonts w:ascii="Times New Roman" w:hAnsi="Times New Roman" w:eastAsia="宋体" w:cs="Times New Roman"/>
                <w:i/>
                <w:iCs/>
                <w:color w:val="000000"/>
                <w:kern w:val="0"/>
                <w:szCs w:val="21"/>
              </w:rPr>
              <w:t>C</w:t>
            </w:r>
            <w:r>
              <w:rPr>
                <w:rFonts w:ascii="Times New Roman" w:hAnsi="Times New Roman" w:eastAsia="宋体" w:cs="Times New Roman"/>
                <w:i/>
                <w:iCs/>
                <w:color w:val="000000"/>
                <w:kern w:val="0"/>
                <w:szCs w:val="21"/>
                <w:vertAlign w:val="subscript"/>
              </w:rPr>
              <w:t>4</w:t>
            </w:r>
          </w:p>
        </w:tc>
        <w:tc>
          <w:tcPr>
            <w:tcW w:w="708" w:type="dxa"/>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 xml:space="preserve"> 1/2</w:t>
            </w:r>
          </w:p>
        </w:tc>
        <w:tc>
          <w:tcPr>
            <w:tcW w:w="709" w:type="dxa"/>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 xml:space="preserve">3    </w:t>
            </w:r>
          </w:p>
        </w:tc>
        <w:tc>
          <w:tcPr>
            <w:tcW w:w="567" w:type="dxa"/>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 xml:space="preserve">2    </w:t>
            </w:r>
          </w:p>
        </w:tc>
        <w:tc>
          <w:tcPr>
            <w:tcW w:w="567" w:type="dxa"/>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1</w:t>
            </w:r>
          </w:p>
        </w:tc>
        <w:tc>
          <w:tcPr>
            <w:tcW w:w="851" w:type="dxa"/>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0.2</w:t>
            </w:r>
            <w:r>
              <w:rPr>
                <w:rFonts w:ascii="宋体" w:hAnsi="宋体" w:eastAsia="宋体"/>
                <w:color w:val="000000"/>
                <w:szCs w:val="21"/>
              </w:rPr>
              <w:t>7</w:t>
            </w:r>
          </w:p>
        </w:tc>
        <w:tc>
          <w:tcPr>
            <w:tcW w:w="708" w:type="dxa"/>
            <w:vMerge w:val="continue"/>
            <w:vAlign w:val="center"/>
          </w:tcPr>
          <w:p>
            <w:pPr>
              <w:widowControl/>
              <w:spacing w:line="400" w:lineRule="exact"/>
              <w:jc w:val="center"/>
              <w:textAlignment w:val="center"/>
              <w:rPr>
                <w:rFonts w:ascii="宋体" w:hAnsi="宋体" w:eastAsia="宋体" w:cs="宋体"/>
                <w:color w:val="000000"/>
                <w:kern w:val="0"/>
                <w:szCs w:val="21"/>
              </w:rPr>
            </w:pPr>
          </w:p>
        </w:tc>
        <w:tc>
          <w:tcPr>
            <w:tcW w:w="709" w:type="dxa"/>
            <w:vMerge w:val="continue"/>
            <w:vAlign w:val="center"/>
          </w:tcPr>
          <w:p>
            <w:pPr>
              <w:widowControl/>
              <w:spacing w:line="400" w:lineRule="exact"/>
              <w:jc w:val="center"/>
              <w:textAlignment w:val="center"/>
              <w:rPr>
                <w:rFonts w:ascii="宋体" w:hAnsi="宋体" w:eastAsia="宋体" w:cs="宋体"/>
                <w:color w:val="000000"/>
                <w:kern w:val="0"/>
                <w:szCs w:val="21"/>
              </w:rPr>
            </w:pPr>
          </w:p>
        </w:tc>
        <w:tc>
          <w:tcPr>
            <w:tcW w:w="567" w:type="dxa"/>
            <w:vMerge w:val="continue"/>
            <w:vAlign w:val="center"/>
          </w:tcPr>
          <w:p>
            <w:pPr>
              <w:widowControl/>
              <w:spacing w:line="400" w:lineRule="exact"/>
              <w:jc w:val="center"/>
              <w:textAlignment w:val="center"/>
              <w:rPr>
                <w:rFonts w:ascii="宋体" w:hAnsi="宋体" w:eastAsia="宋体" w:cs="宋体"/>
                <w:color w:val="000000"/>
                <w:kern w:val="0"/>
                <w:szCs w:val="21"/>
              </w:rPr>
            </w:pPr>
          </w:p>
        </w:tc>
        <w:tc>
          <w:tcPr>
            <w:tcW w:w="851" w:type="dxa"/>
            <w:vMerge w:val="continue"/>
            <w:vAlign w:val="center"/>
          </w:tcPr>
          <w:p>
            <w:pPr>
              <w:widowControl/>
              <w:spacing w:line="400" w:lineRule="exact"/>
              <w:jc w:val="center"/>
              <w:textAlignment w:val="center"/>
              <w:rPr>
                <w:rFonts w:ascii="宋体" w:hAnsi="宋体" w:eastAsia="宋体" w:cs="宋体"/>
                <w:color w:val="000000"/>
                <w:kern w:val="0"/>
                <w:szCs w:val="21"/>
              </w:rPr>
            </w:pPr>
          </w:p>
        </w:tc>
      </w:tr>
    </w:tbl>
    <w:p>
      <w:pPr>
        <w:spacing w:line="400" w:lineRule="exact"/>
        <w:rPr>
          <w:rFonts w:ascii="宋体" w:hAnsi="宋体" w:eastAsia="宋体"/>
          <w:szCs w:val="21"/>
        </w:rPr>
      </w:pPr>
    </w:p>
    <w:p>
      <w:pPr>
        <w:spacing w:line="400" w:lineRule="exact"/>
        <w:jc w:val="center"/>
        <w:rPr>
          <w:rFonts w:ascii="宋体" w:hAnsi="宋体" w:eastAsia="宋体"/>
          <w:szCs w:val="21"/>
        </w:rPr>
      </w:pPr>
    </w:p>
    <w:p>
      <w:pPr>
        <w:spacing w:line="400" w:lineRule="exact"/>
        <w:jc w:val="center"/>
        <w:rPr>
          <w:rFonts w:ascii="宋体" w:hAnsi="宋体" w:eastAsia="宋体"/>
          <w:szCs w:val="21"/>
        </w:rPr>
      </w:pPr>
    </w:p>
    <w:p>
      <w:pPr>
        <w:spacing w:line="400" w:lineRule="exact"/>
        <w:jc w:val="center"/>
        <w:rPr>
          <w:rFonts w:ascii="宋体" w:hAnsi="宋体" w:eastAsia="宋体"/>
          <w:szCs w:val="21"/>
        </w:rPr>
      </w:pPr>
    </w:p>
    <w:p>
      <w:pPr>
        <w:spacing w:line="400" w:lineRule="exact"/>
        <w:jc w:val="center"/>
        <w:rPr>
          <w:rFonts w:ascii="宋体" w:hAnsi="宋体" w:eastAsia="宋体"/>
          <w:szCs w:val="21"/>
        </w:rPr>
      </w:pPr>
      <w:r>
        <w:rPr>
          <w:rFonts w:hint="eastAsia" w:ascii="宋体" w:hAnsi="宋体" w:eastAsia="宋体"/>
          <w:szCs w:val="21"/>
        </w:rPr>
        <w:t>表4</w:t>
      </w:r>
      <w:r>
        <w:rPr>
          <w:rFonts w:ascii="宋体" w:hAnsi="宋体" w:eastAsia="宋体"/>
          <w:szCs w:val="21"/>
        </w:rPr>
        <w:t xml:space="preserve">  </w:t>
      </w:r>
      <w:r>
        <w:rPr>
          <w:rFonts w:hint="eastAsia" w:ascii="宋体" w:hAnsi="宋体" w:eastAsia="宋体"/>
          <w:szCs w:val="21"/>
        </w:rPr>
        <w:t>准则层</w:t>
      </w:r>
      <w:r>
        <w:rPr>
          <w:rFonts w:ascii="Times New Roman" w:hAnsi="Times New Roman" w:eastAsia="宋体" w:cs="Times New Roman"/>
          <w:i/>
          <w:iCs/>
          <w:szCs w:val="21"/>
        </w:rPr>
        <w:t>B2</w:t>
      </w:r>
      <w:r>
        <w:rPr>
          <w:rFonts w:hint="eastAsia" w:ascii="宋体" w:hAnsi="宋体" w:eastAsia="宋体"/>
          <w:szCs w:val="21"/>
        </w:rPr>
        <w:t>各指标</w:t>
      </w:r>
      <w:r>
        <w:rPr>
          <w:rFonts w:ascii="宋体" w:hAnsi="宋体" w:eastAsia="宋体"/>
          <w:szCs w:val="21"/>
        </w:rPr>
        <w:t>判断矩阵</w:t>
      </w:r>
      <w:r>
        <w:rPr>
          <w:rFonts w:hint="eastAsia" w:ascii="宋体" w:hAnsi="宋体" w:eastAsia="宋体"/>
          <w:szCs w:val="21"/>
        </w:rPr>
        <w:t>及</w:t>
      </w:r>
      <w:r>
        <w:rPr>
          <w:rFonts w:ascii="宋体" w:hAnsi="宋体" w:eastAsia="宋体"/>
          <w:szCs w:val="21"/>
        </w:rPr>
        <w:t>一致性检验结果</w:t>
      </w:r>
    </w:p>
    <w:tbl>
      <w:tblPr>
        <w:tblStyle w:val="8"/>
        <w:tblW w:w="8364" w:type="dxa"/>
        <w:jc w:val="center"/>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09"/>
        <w:gridCol w:w="567"/>
        <w:gridCol w:w="567"/>
        <w:gridCol w:w="567"/>
        <w:gridCol w:w="567"/>
        <w:gridCol w:w="567"/>
        <w:gridCol w:w="567"/>
        <w:gridCol w:w="709"/>
        <w:gridCol w:w="708"/>
        <w:gridCol w:w="677"/>
        <w:gridCol w:w="709"/>
        <w:gridCol w:w="850"/>
      </w:tblGrid>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1" w:hRule="atLeast"/>
          <w:jc w:val="center"/>
        </w:trPr>
        <w:tc>
          <w:tcPr>
            <w:tcW w:w="1309" w:type="dxa"/>
            <w:tcBorders>
              <w:top w:val="single" w:color="000000" w:themeColor="text1" w:sz="4" w:space="0"/>
              <w:bottom w:val="single" w:color="000000" w:themeColor="text1" w:sz="4" w:space="0"/>
            </w:tcBorders>
            <w:vAlign w:val="center"/>
          </w:tcPr>
          <w:p>
            <w:pPr>
              <w:widowControl/>
              <w:spacing w:line="400" w:lineRule="exact"/>
              <w:jc w:val="center"/>
              <w:textAlignment w:val="center"/>
              <w:rPr>
                <w:rFonts w:ascii="宋体" w:hAnsi="宋体" w:eastAsia="宋体" w:cs="宋体"/>
                <w:color w:val="000000"/>
                <w:szCs w:val="21"/>
              </w:rPr>
            </w:pPr>
            <w:r>
              <w:rPr>
                <w:rFonts w:hint="eastAsia" w:ascii="宋体" w:hAnsi="宋体" w:eastAsia="宋体" w:cs="宋体"/>
                <w:color w:val="000000"/>
                <w:szCs w:val="21"/>
              </w:rPr>
              <w:t>育人措施的有效性</w:t>
            </w:r>
            <w:r>
              <w:rPr>
                <w:rFonts w:ascii="Times New Roman" w:hAnsi="Times New Roman" w:eastAsia="宋体" w:cs="Times New Roman"/>
                <w:i/>
                <w:iCs/>
                <w:color w:val="000000"/>
                <w:szCs w:val="21"/>
              </w:rPr>
              <w:t>B</w:t>
            </w:r>
            <w:r>
              <w:rPr>
                <w:rFonts w:ascii="Times New Roman" w:hAnsi="Times New Roman" w:eastAsia="宋体" w:cs="Times New Roman"/>
                <w:i/>
                <w:iCs/>
                <w:color w:val="000000"/>
                <w:szCs w:val="21"/>
                <w:vertAlign w:val="subscript"/>
              </w:rPr>
              <w:t>2</w:t>
            </w:r>
          </w:p>
        </w:tc>
        <w:tc>
          <w:tcPr>
            <w:tcW w:w="567" w:type="dxa"/>
            <w:tcBorders>
              <w:top w:val="single" w:color="000000" w:themeColor="text1" w:sz="4" w:space="0"/>
              <w:bottom w:val="single" w:color="000000" w:themeColor="text1" w:sz="4" w:space="0"/>
            </w:tcBorders>
            <w:vAlign w:val="center"/>
          </w:tcPr>
          <w:p>
            <w:pPr>
              <w:widowControl/>
              <w:spacing w:line="400" w:lineRule="exact"/>
              <w:jc w:val="center"/>
              <w:textAlignment w:val="center"/>
              <w:rPr>
                <w:rFonts w:ascii="Times New Roman" w:hAnsi="Times New Roman" w:eastAsia="宋体" w:cs="Times New Roman"/>
                <w:i/>
                <w:iCs/>
                <w:color w:val="000000"/>
                <w:szCs w:val="21"/>
              </w:rPr>
            </w:pPr>
            <w:r>
              <w:rPr>
                <w:rFonts w:ascii="Times New Roman" w:hAnsi="Times New Roman" w:eastAsia="宋体" w:cs="Times New Roman"/>
                <w:i/>
                <w:iCs/>
                <w:color w:val="000000"/>
                <w:szCs w:val="21"/>
              </w:rPr>
              <w:t>C</w:t>
            </w:r>
            <w:r>
              <w:rPr>
                <w:rFonts w:ascii="Times New Roman" w:hAnsi="Times New Roman" w:eastAsia="宋体" w:cs="Times New Roman"/>
                <w:i/>
                <w:iCs/>
                <w:color w:val="000000"/>
                <w:szCs w:val="21"/>
                <w:vertAlign w:val="subscript"/>
              </w:rPr>
              <w:t>5</w:t>
            </w:r>
          </w:p>
        </w:tc>
        <w:tc>
          <w:tcPr>
            <w:tcW w:w="567" w:type="dxa"/>
            <w:tcBorders>
              <w:top w:val="single" w:color="000000" w:themeColor="text1" w:sz="4" w:space="0"/>
              <w:bottom w:val="single" w:color="000000" w:themeColor="text1" w:sz="4" w:space="0"/>
            </w:tcBorders>
            <w:vAlign w:val="center"/>
          </w:tcPr>
          <w:p>
            <w:pPr>
              <w:widowControl/>
              <w:spacing w:line="400" w:lineRule="exact"/>
              <w:jc w:val="center"/>
              <w:textAlignment w:val="center"/>
              <w:rPr>
                <w:rFonts w:ascii="Times New Roman" w:hAnsi="Times New Roman" w:eastAsia="宋体" w:cs="Times New Roman"/>
                <w:i/>
                <w:iCs/>
                <w:color w:val="000000"/>
                <w:szCs w:val="21"/>
              </w:rPr>
            </w:pPr>
            <w:r>
              <w:rPr>
                <w:rFonts w:ascii="Times New Roman" w:hAnsi="Times New Roman" w:eastAsia="宋体" w:cs="Times New Roman"/>
                <w:i/>
                <w:iCs/>
                <w:color w:val="000000"/>
                <w:szCs w:val="21"/>
              </w:rPr>
              <w:t>C</w:t>
            </w:r>
            <w:r>
              <w:rPr>
                <w:rFonts w:ascii="Times New Roman" w:hAnsi="Times New Roman" w:eastAsia="宋体" w:cs="Times New Roman"/>
                <w:i/>
                <w:iCs/>
                <w:color w:val="000000"/>
                <w:szCs w:val="21"/>
                <w:vertAlign w:val="subscript"/>
              </w:rPr>
              <w:t>6</w:t>
            </w:r>
          </w:p>
        </w:tc>
        <w:tc>
          <w:tcPr>
            <w:tcW w:w="567" w:type="dxa"/>
            <w:tcBorders>
              <w:top w:val="single" w:color="000000" w:themeColor="text1" w:sz="4" w:space="0"/>
              <w:bottom w:val="single" w:color="000000" w:themeColor="text1" w:sz="4" w:space="0"/>
            </w:tcBorders>
            <w:vAlign w:val="center"/>
          </w:tcPr>
          <w:p>
            <w:pPr>
              <w:widowControl/>
              <w:spacing w:line="400" w:lineRule="exact"/>
              <w:jc w:val="center"/>
              <w:textAlignment w:val="center"/>
              <w:rPr>
                <w:rFonts w:ascii="Times New Roman" w:hAnsi="Times New Roman" w:eastAsia="宋体" w:cs="Times New Roman"/>
                <w:i/>
                <w:iCs/>
                <w:color w:val="000000"/>
                <w:szCs w:val="21"/>
              </w:rPr>
            </w:pPr>
            <w:r>
              <w:rPr>
                <w:rFonts w:ascii="Times New Roman" w:hAnsi="Times New Roman" w:eastAsia="宋体" w:cs="Times New Roman"/>
                <w:i/>
                <w:iCs/>
                <w:color w:val="000000"/>
                <w:szCs w:val="21"/>
              </w:rPr>
              <w:t>C</w:t>
            </w:r>
            <w:r>
              <w:rPr>
                <w:rFonts w:ascii="Times New Roman" w:hAnsi="Times New Roman" w:eastAsia="宋体" w:cs="Times New Roman"/>
                <w:i/>
                <w:iCs/>
                <w:color w:val="000000"/>
                <w:szCs w:val="21"/>
                <w:vertAlign w:val="subscript"/>
              </w:rPr>
              <w:t>7</w:t>
            </w:r>
          </w:p>
        </w:tc>
        <w:tc>
          <w:tcPr>
            <w:tcW w:w="567" w:type="dxa"/>
            <w:tcBorders>
              <w:top w:val="single" w:color="000000" w:themeColor="text1" w:sz="4" w:space="0"/>
              <w:bottom w:val="single" w:color="000000" w:themeColor="text1" w:sz="4" w:space="0"/>
            </w:tcBorders>
            <w:vAlign w:val="center"/>
          </w:tcPr>
          <w:p>
            <w:pPr>
              <w:widowControl/>
              <w:spacing w:line="400" w:lineRule="exact"/>
              <w:jc w:val="center"/>
              <w:textAlignment w:val="center"/>
              <w:rPr>
                <w:rFonts w:ascii="Times New Roman" w:hAnsi="Times New Roman" w:eastAsia="宋体" w:cs="Times New Roman"/>
                <w:i/>
                <w:iCs/>
                <w:color w:val="000000"/>
                <w:szCs w:val="21"/>
              </w:rPr>
            </w:pPr>
            <w:r>
              <w:rPr>
                <w:rFonts w:ascii="Times New Roman" w:hAnsi="Times New Roman" w:eastAsia="宋体" w:cs="Times New Roman"/>
                <w:i/>
                <w:iCs/>
                <w:color w:val="000000"/>
                <w:szCs w:val="21"/>
              </w:rPr>
              <w:t>C</w:t>
            </w:r>
            <w:r>
              <w:rPr>
                <w:rFonts w:ascii="Times New Roman" w:hAnsi="Times New Roman" w:eastAsia="宋体" w:cs="Times New Roman"/>
                <w:i/>
                <w:iCs/>
                <w:color w:val="000000"/>
                <w:szCs w:val="21"/>
                <w:vertAlign w:val="subscript"/>
              </w:rPr>
              <w:t>8</w:t>
            </w:r>
          </w:p>
        </w:tc>
        <w:tc>
          <w:tcPr>
            <w:tcW w:w="567" w:type="dxa"/>
            <w:tcBorders>
              <w:top w:val="single" w:color="000000" w:themeColor="text1" w:sz="4" w:space="0"/>
              <w:bottom w:val="single" w:color="000000" w:themeColor="text1" w:sz="4" w:space="0"/>
            </w:tcBorders>
            <w:vAlign w:val="center"/>
          </w:tcPr>
          <w:p>
            <w:pPr>
              <w:widowControl/>
              <w:spacing w:line="400" w:lineRule="exact"/>
              <w:jc w:val="center"/>
              <w:textAlignment w:val="center"/>
              <w:rPr>
                <w:rFonts w:ascii="Times New Roman" w:hAnsi="Times New Roman" w:eastAsia="宋体" w:cs="Times New Roman"/>
                <w:i/>
                <w:iCs/>
                <w:color w:val="000000"/>
                <w:kern w:val="0"/>
                <w:szCs w:val="21"/>
              </w:rPr>
            </w:pPr>
            <w:r>
              <w:rPr>
                <w:rFonts w:ascii="Times New Roman" w:hAnsi="Times New Roman" w:eastAsia="宋体" w:cs="Times New Roman"/>
                <w:i/>
                <w:iCs/>
                <w:color w:val="000000"/>
                <w:kern w:val="0"/>
                <w:szCs w:val="21"/>
              </w:rPr>
              <w:t>C</w:t>
            </w:r>
            <w:r>
              <w:rPr>
                <w:rFonts w:ascii="Times New Roman" w:hAnsi="Times New Roman" w:eastAsia="宋体" w:cs="Times New Roman"/>
                <w:i/>
                <w:iCs/>
                <w:color w:val="000000"/>
                <w:kern w:val="0"/>
                <w:szCs w:val="21"/>
                <w:vertAlign w:val="subscript"/>
              </w:rPr>
              <w:t>9</w:t>
            </w:r>
          </w:p>
        </w:tc>
        <w:tc>
          <w:tcPr>
            <w:tcW w:w="567" w:type="dxa"/>
            <w:tcBorders>
              <w:top w:val="single" w:color="000000" w:themeColor="text1" w:sz="4" w:space="0"/>
              <w:bottom w:val="single" w:color="000000" w:themeColor="text1" w:sz="4" w:space="0"/>
            </w:tcBorders>
            <w:vAlign w:val="center"/>
          </w:tcPr>
          <w:p>
            <w:pPr>
              <w:spacing w:line="400" w:lineRule="exact"/>
              <w:jc w:val="center"/>
              <w:textAlignment w:val="center"/>
              <w:rPr>
                <w:rFonts w:ascii="Times New Roman" w:hAnsi="Times New Roman" w:eastAsia="宋体" w:cs="Times New Roman"/>
                <w:i/>
                <w:iCs/>
                <w:color w:val="000000"/>
                <w:kern w:val="0"/>
                <w:szCs w:val="21"/>
              </w:rPr>
            </w:pPr>
            <w:r>
              <w:rPr>
                <w:rFonts w:ascii="Times New Roman" w:hAnsi="Times New Roman" w:eastAsia="宋体" w:cs="Times New Roman"/>
                <w:i/>
                <w:iCs/>
                <w:color w:val="000000"/>
                <w:kern w:val="0"/>
                <w:szCs w:val="21"/>
              </w:rPr>
              <w:t>C</w:t>
            </w:r>
            <w:r>
              <w:rPr>
                <w:rFonts w:ascii="Times New Roman" w:hAnsi="Times New Roman" w:eastAsia="宋体" w:cs="Times New Roman"/>
                <w:i/>
                <w:iCs/>
                <w:color w:val="000000"/>
                <w:kern w:val="0"/>
                <w:szCs w:val="21"/>
                <w:vertAlign w:val="subscript"/>
              </w:rPr>
              <w:t>10</w:t>
            </w:r>
          </w:p>
        </w:tc>
        <w:tc>
          <w:tcPr>
            <w:tcW w:w="709" w:type="dxa"/>
            <w:tcBorders>
              <w:top w:val="single" w:color="000000" w:themeColor="text1" w:sz="4" w:space="0"/>
              <w:bottom w:val="single" w:color="000000" w:themeColor="text1" w:sz="4" w:space="0"/>
            </w:tcBorders>
            <w:vAlign w:val="center"/>
          </w:tcPr>
          <w:p>
            <w:pPr>
              <w:spacing w:line="400" w:lineRule="exact"/>
              <w:jc w:val="center"/>
              <w:textAlignment w:val="center"/>
              <w:rPr>
                <w:rFonts w:ascii="Times New Roman" w:hAnsi="Times New Roman" w:eastAsia="宋体" w:cs="Times New Roman"/>
                <w:i/>
                <w:iCs/>
                <w:color w:val="000000"/>
                <w:kern w:val="0"/>
                <w:szCs w:val="21"/>
              </w:rPr>
            </w:pPr>
            <w:r>
              <w:rPr>
                <w:rFonts w:ascii="Times New Roman" w:hAnsi="Times New Roman" w:eastAsia="宋体" w:cs="Times New Roman"/>
                <w:i/>
                <w:iCs/>
                <w:color w:val="000000"/>
                <w:kern w:val="0"/>
                <w:szCs w:val="21"/>
              </w:rPr>
              <w:t>W</w:t>
            </w:r>
          </w:p>
        </w:tc>
        <w:tc>
          <w:tcPr>
            <w:tcW w:w="708" w:type="dxa"/>
            <w:tcBorders>
              <w:top w:val="single" w:color="000000" w:themeColor="text1" w:sz="4" w:space="0"/>
              <w:bottom w:val="single" w:color="000000" w:themeColor="text1" w:sz="4" w:space="0"/>
            </w:tcBorders>
            <w:vAlign w:val="center"/>
          </w:tcPr>
          <w:p>
            <w:pPr>
              <w:widowControl/>
              <w:spacing w:line="400" w:lineRule="exact"/>
              <w:jc w:val="center"/>
              <w:textAlignment w:val="center"/>
              <w:rPr>
                <w:rFonts w:ascii="Times New Roman" w:hAnsi="Times New Roman" w:eastAsia="宋体" w:cs="Times New Roman"/>
                <w:i/>
                <w:iCs/>
                <w:color w:val="000000"/>
                <w:kern w:val="0"/>
                <w:szCs w:val="21"/>
              </w:rPr>
            </w:pPr>
            <w:r>
              <w:rPr>
                <w:rFonts w:ascii="Times New Roman" w:hAnsi="Times New Roman" w:eastAsia="宋体" w:cs="Times New Roman"/>
                <w:i/>
                <w:iCs/>
                <w:color w:val="000000"/>
                <w:kern w:val="0"/>
                <w:position w:val="-6"/>
                <w:szCs w:val="21"/>
              </w:rPr>
              <w:object>
                <v:shape id="_x0000_i1027" o:spt="75" type="#_x0000_t75" style="height:12pt;width:24pt;" o:ole="t" filled="f" o:preferrelative="t" stroked="f" coordsize="21600,21600">
                  <v:path/>
                  <v:fill on="f" focussize="0,0"/>
                  <v:stroke on="f" joinstyle="miter"/>
                  <v:imagedata r:id="rId6" o:title=""/>
                  <o:lock v:ext="edit" aspectratio="t"/>
                  <w10:wrap type="none"/>
                  <w10:anchorlock/>
                </v:shape>
                <o:OLEObject Type="Embed" ProgID="Equation.3" ShapeID="_x0000_i1027" DrawAspect="Content" ObjectID="_1468075727" r:id="rId8">
                  <o:LockedField>false</o:LockedField>
                </o:OLEObject>
              </w:object>
            </w:r>
          </w:p>
        </w:tc>
        <w:tc>
          <w:tcPr>
            <w:tcW w:w="677" w:type="dxa"/>
            <w:tcBorders>
              <w:top w:val="single" w:color="000000" w:themeColor="text1" w:sz="4" w:space="0"/>
              <w:bottom w:val="single" w:color="000000" w:themeColor="text1" w:sz="4" w:space="0"/>
            </w:tcBorders>
            <w:vAlign w:val="center"/>
          </w:tcPr>
          <w:p>
            <w:pPr>
              <w:widowControl/>
              <w:spacing w:line="400" w:lineRule="exact"/>
              <w:jc w:val="center"/>
              <w:textAlignment w:val="center"/>
              <w:rPr>
                <w:rFonts w:ascii="Times New Roman" w:hAnsi="Times New Roman" w:eastAsia="宋体" w:cs="Times New Roman"/>
                <w:i/>
                <w:iCs/>
                <w:color w:val="000000"/>
                <w:kern w:val="0"/>
                <w:szCs w:val="21"/>
              </w:rPr>
            </w:pPr>
            <w:r>
              <w:rPr>
                <w:rFonts w:ascii="Times New Roman" w:hAnsi="Times New Roman" w:eastAsia="宋体" w:cs="Times New Roman"/>
                <w:i/>
                <w:iCs/>
                <w:color w:val="000000"/>
                <w:kern w:val="0"/>
                <w:szCs w:val="21"/>
              </w:rPr>
              <w:t>CI</w:t>
            </w:r>
          </w:p>
        </w:tc>
        <w:tc>
          <w:tcPr>
            <w:tcW w:w="709" w:type="dxa"/>
            <w:tcBorders>
              <w:top w:val="single" w:color="000000" w:themeColor="text1" w:sz="4" w:space="0"/>
              <w:bottom w:val="single" w:color="000000" w:themeColor="text1" w:sz="4" w:space="0"/>
            </w:tcBorders>
            <w:vAlign w:val="center"/>
          </w:tcPr>
          <w:p>
            <w:pPr>
              <w:widowControl/>
              <w:spacing w:line="400" w:lineRule="exact"/>
              <w:jc w:val="center"/>
              <w:textAlignment w:val="center"/>
              <w:rPr>
                <w:rFonts w:ascii="Times New Roman" w:hAnsi="Times New Roman" w:eastAsia="宋体" w:cs="Times New Roman"/>
                <w:i/>
                <w:iCs/>
                <w:color w:val="000000"/>
                <w:kern w:val="0"/>
                <w:szCs w:val="21"/>
              </w:rPr>
            </w:pPr>
            <w:r>
              <w:rPr>
                <w:rFonts w:ascii="Times New Roman" w:hAnsi="Times New Roman" w:eastAsia="宋体" w:cs="Times New Roman"/>
                <w:i/>
                <w:iCs/>
                <w:color w:val="000000"/>
                <w:kern w:val="0"/>
                <w:szCs w:val="21"/>
              </w:rPr>
              <w:t>RI</w:t>
            </w:r>
          </w:p>
        </w:tc>
        <w:tc>
          <w:tcPr>
            <w:tcW w:w="850" w:type="dxa"/>
            <w:tcBorders>
              <w:top w:val="single" w:color="000000" w:themeColor="text1" w:sz="4" w:space="0"/>
              <w:bottom w:val="single" w:color="000000" w:themeColor="text1" w:sz="4" w:space="0"/>
            </w:tcBorders>
            <w:vAlign w:val="center"/>
          </w:tcPr>
          <w:p>
            <w:pPr>
              <w:widowControl/>
              <w:spacing w:line="400" w:lineRule="exact"/>
              <w:jc w:val="center"/>
              <w:textAlignment w:val="center"/>
              <w:rPr>
                <w:rFonts w:ascii="Times New Roman" w:hAnsi="Times New Roman" w:eastAsia="宋体" w:cs="Times New Roman"/>
                <w:i/>
                <w:iCs/>
                <w:color w:val="000000"/>
                <w:kern w:val="0"/>
                <w:szCs w:val="21"/>
              </w:rPr>
            </w:pPr>
            <w:r>
              <w:rPr>
                <w:rFonts w:ascii="Times New Roman" w:hAnsi="Times New Roman" w:eastAsia="宋体" w:cs="Times New Roman"/>
                <w:i/>
                <w:iCs/>
                <w:color w:val="000000"/>
                <w:kern w:val="0"/>
                <w:szCs w:val="21"/>
              </w:rPr>
              <w:t>CR</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0" w:hRule="atLeast"/>
          <w:jc w:val="center"/>
        </w:trPr>
        <w:tc>
          <w:tcPr>
            <w:tcW w:w="1309" w:type="dxa"/>
            <w:tcBorders>
              <w:top w:val="single" w:color="000000" w:themeColor="text1" w:sz="4" w:space="0"/>
            </w:tcBorders>
            <w:vAlign w:val="center"/>
          </w:tcPr>
          <w:p>
            <w:pPr>
              <w:widowControl/>
              <w:spacing w:line="400" w:lineRule="exact"/>
              <w:jc w:val="center"/>
              <w:textAlignment w:val="center"/>
              <w:rPr>
                <w:rFonts w:ascii="Times New Roman" w:hAnsi="Times New Roman" w:eastAsia="宋体" w:cs="Times New Roman"/>
                <w:i/>
                <w:iCs/>
                <w:color w:val="000000"/>
                <w:szCs w:val="21"/>
              </w:rPr>
            </w:pPr>
            <w:r>
              <w:rPr>
                <w:rFonts w:ascii="Times New Roman" w:hAnsi="Times New Roman" w:eastAsia="宋体" w:cs="Times New Roman"/>
                <w:i/>
                <w:iCs/>
                <w:color w:val="000000"/>
                <w:szCs w:val="21"/>
              </w:rPr>
              <w:t>C</w:t>
            </w:r>
            <w:r>
              <w:rPr>
                <w:rFonts w:ascii="Times New Roman" w:hAnsi="Times New Roman" w:eastAsia="宋体" w:cs="Times New Roman"/>
                <w:i/>
                <w:iCs/>
                <w:color w:val="000000"/>
                <w:szCs w:val="21"/>
                <w:vertAlign w:val="subscript"/>
              </w:rPr>
              <w:t>5</w:t>
            </w:r>
          </w:p>
        </w:tc>
        <w:tc>
          <w:tcPr>
            <w:tcW w:w="567" w:type="dxa"/>
            <w:tcBorders>
              <w:top w:val="single" w:color="000000" w:themeColor="text1" w:sz="4" w:space="0"/>
            </w:tcBorders>
            <w:vAlign w:val="bottom"/>
          </w:tcPr>
          <w:p>
            <w:pPr>
              <w:widowControl/>
              <w:spacing w:line="400" w:lineRule="exact"/>
              <w:jc w:val="center"/>
              <w:rPr>
                <w:rFonts w:ascii="宋体" w:hAnsi="宋体" w:eastAsia="宋体"/>
                <w:color w:val="000000"/>
                <w:szCs w:val="21"/>
              </w:rPr>
            </w:pPr>
            <w:r>
              <w:rPr>
                <w:rFonts w:hint="eastAsia" w:ascii="宋体" w:hAnsi="宋体" w:eastAsia="宋体"/>
                <w:color w:val="000000"/>
                <w:szCs w:val="21"/>
              </w:rPr>
              <w:t>1</w:t>
            </w:r>
          </w:p>
        </w:tc>
        <w:tc>
          <w:tcPr>
            <w:tcW w:w="567" w:type="dxa"/>
            <w:tcBorders>
              <w:top w:val="single" w:color="000000" w:themeColor="text1" w:sz="4" w:space="0"/>
            </w:tcBorders>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1/3</w:t>
            </w:r>
          </w:p>
        </w:tc>
        <w:tc>
          <w:tcPr>
            <w:tcW w:w="567" w:type="dxa"/>
            <w:tcBorders>
              <w:top w:val="single" w:color="000000" w:themeColor="text1" w:sz="4" w:space="0"/>
            </w:tcBorders>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1/4</w:t>
            </w:r>
          </w:p>
        </w:tc>
        <w:tc>
          <w:tcPr>
            <w:tcW w:w="567" w:type="dxa"/>
            <w:tcBorders>
              <w:top w:val="single" w:color="000000" w:themeColor="text1" w:sz="4" w:space="0"/>
            </w:tcBorders>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1/3</w:t>
            </w:r>
          </w:p>
        </w:tc>
        <w:tc>
          <w:tcPr>
            <w:tcW w:w="567" w:type="dxa"/>
            <w:tcBorders>
              <w:top w:val="single" w:color="000000" w:themeColor="text1" w:sz="4" w:space="0"/>
            </w:tcBorders>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1/2</w:t>
            </w:r>
          </w:p>
        </w:tc>
        <w:tc>
          <w:tcPr>
            <w:tcW w:w="567" w:type="dxa"/>
            <w:tcBorders>
              <w:top w:val="single" w:color="000000" w:themeColor="text1" w:sz="4" w:space="0"/>
            </w:tcBorders>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1/3</w:t>
            </w:r>
          </w:p>
        </w:tc>
        <w:tc>
          <w:tcPr>
            <w:tcW w:w="709" w:type="dxa"/>
            <w:tcBorders>
              <w:top w:val="single" w:color="000000" w:themeColor="text1" w:sz="4" w:space="0"/>
            </w:tcBorders>
            <w:vAlign w:val="bottom"/>
          </w:tcPr>
          <w:p>
            <w:pPr>
              <w:widowControl/>
              <w:spacing w:line="400" w:lineRule="exact"/>
              <w:jc w:val="center"/>
              <w:rPr>
                <w:rFonts w:ascii="宋体" w:hAnsi="宋体" w:eastAsia="宋体"/>
                <w:color w:val="000000"/>
                <w:szCs w:val="21"/>
              </w:rPr>
            </w:pPr>
            <w:r>
              <w:rPr>
                <w:rFonts w:hint="eastAsia" w:ascii="宋体" w:hAnsi="宋体" w:eastAsia="宋体"/>
                <w:color w:val="000000"/>
                <w:szCs w:val="21"/>
              </w:rPr>
              <w:t>0.06</w:t>
            </w:r>
          </w:p>
        </w:tc>
        <w:tc>
          <w:tcPr>
            <w:tcW w:w="708" w:type="dxa"/>
            <w:vMerge w:val="restart"/>
            <w:tcBorders>
              <w:top w:val="single" w:color="000000" w:themeColor="text1" w:sz="4" w:space="0"/>
            </w:tcBorders>
            <w:vAlign w:val="center"/>
          </w:tcPr>
          <w:p>
            <w:pPr>
              <w:widowControl/>
              <w:spacing w:line="400" w:lineRule="exact"/>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6.12</w:t>
            </w:r>
          </w:p>
        </w:tc>
        <w:tc>
          <w:tcPr>
            <w:tcW w:w="677" w:type="dxa"/>
            <w:vMerge w:val="restart"/>
            <w:tcBorders>
              <w:top w:val="single" w:color="000000" w:themeColor="text1" w:sz="4" w:space="0"/>
            </w:tcBorders>
            <w:vAlign w:val="center"/>
          </w:tcPr>
          <w:p>
            <w:pPr>
              <w:widowControl/>
              <w:spacing w:line="400" w:lineRule="exact"/>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0.023</w:t>
            </w:r>
          </w:p>
        </w:tc>
        <w:tc>
          <w:tcPr>
            <w:tcW w:w="709" w:type="dxa"/>
            <w:vMerge w:val="restart"/>
            <w:tcBorders>
              <w:top w:val="single" w:color="000000" w:themeColor="text1" w:sz="4" w:space="0"/>
            </w:tcBorders>
            <w:vAlign w:val="center"/>
          </w:tcPr>
          <w:p>
            <w:pPr>
              <w:widowControl/>
              <w:spacing w:line="400" w:lineRule="exact"/>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1.24</w:t>
            </w:r>
          </w:p>
        </w:tc>
        <w:tc>
          <w:tcPr>
            <w:tcW w:w="850" w:type="dxa"/>
            <w:vMerge w:val="restart"/>
            <w:tcBorders>
              <w:top w:val="single" w:color="000000" w:themeColor="text1" w:sz="4" w:space="0"/>
            </w:tcBorders>
            <w:vAlign w:val="center"/>
          </w:tcPr>
          <w:p>
            <w:pPr>
              <w:widowControl/>
              <w:spacing w:line="400" w:lineRule="exact"/>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0.019</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0" w:hRule="atLeast"/>
          <w:jc w:val="center"/>
        </w:trPr>
        <w:tc>
          <w:tcPr>
            <w:tcW w:w="1309" w:type="dxa"/>
            <w:vAlign w:val="center"/>
          </w:tcPr>
          <w:p>
            <w:pPr>
              <w:widowControl/>
              <w:spacing w:line="400" w:lineRule="exact"/>
              <w:jc w:val="center"/>
              <w:textAlignment w:val="center"/>
              <w:rPr>
                <w:rFonts w:ascii="Times New Roman" w:hAnsi="Times New Roman" w:eastAsia="宋体" w:cs="Times New Roman"/>
                <w:i/>
                <w:iCs/>
                <w:color w:val="000000"/>
                <w:szCs w:val="21"/>
              </w:rPr>
            </w:pPr>
            <w:r>
              <w:rPr>
                <w:rFonts w:ascii="Times New Roman" w:hAnsi="Times New Roman" w:eastAsia="宋体" w:cs="Times New Roman"/>
                <w:i/>
                <w:iCs/>
                <w:color w:val="000000"/>
                <w:szCs w:val="21"/>
              </w:rPr>
              <w:t>C</w:t>
            </w:r>
            <w:r>
              <w:rPr>
                <w:rFonts w:ascii="Times New Roman" w:hAnsi="Times New Roman" w:eastAsia="宋体" w:cs="Times New Roman"/>
                <w:i/>
                <w:iCs/>
                <w:color w:val="000000"/>
                <w:szCs w:val="21"/>
                <w:vertAlign w:val="subscript"/>
              </w:rPr>
              <w:t>6</w:t>
            </w:r>
          </w:p>
        </w:tc>
        <w:tc>
          <w:tcPr>
            <w:tcW w:w="567" w:type="dxa"/>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3</w:t>
            </w:r>
          </w:p>
        </w:tc>
        <w:tc>
          <w:tcPr>
            <w:tcW w:w="567" w:type="dxa"/>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1</w:t>
            </w:r>
          </w:p>
        </w:tc>
        <w:tc>
          <w:tcPr>
            <w:tcW w:w="567" w:type="dxa"/>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1/2</w:t>
            </w:r>
          </w:p>
        </w:tc>
        <w:tc>
          <w:tcPr>
            <w:tcW w:w="567" w:type="dxa"/>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1</w:t>
            </w:r>
          </w:p>
        </w:tc>
        <w:tc>
          <w:tcPr>
            <w:tcW w:w="567" w:type="dxa"/>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1/2</w:t>
            </w:r>
          </w:p>
        </w:tc>
        <w:tc>
          <w:tcPr>
            <w:tcW w:w="567" w:type="dxa"/>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2</w:t>
            </w:r>
          </w:p>
        </w:tc>
        <w:tc>
          <w:tcPr>
            <w:tcW w:w="709" w:type="dxa"/>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0.16</w:t>
            </w:r>
          </w:p>
        </w:tc>
        <w:tc>
          <w:tcPr>
            <w:tcW w:w="708" w:type="dxa"/>
            <w:vMerge w:val="continue"/>
            <w:vAlign w:val="center"/>
          </w:tcPr>
          <w:p>
            <w:pPr>
              <w:widowControl/>
              <w:spacing w:line="400" w:lineRule="exact"/>
              <w:jc w:val="center"/>
              <w:textAlignment w:val="center"/>
              <w:rPr>
                <w:rFonts w:ascii="宋体" w:hAnsi="宋体" w:eastAsia="宋体" w:cs="宋体"/>
                <w:color w:val="000000"/>
                <w:kern w:val="0"/>
                <w:szCs w:val="21"/>
              </w:rPr>
            </w:pPr>
          </w:p>
        </w:tc>
        <w:tc>
          <w:tcPr>
            <w:tcW w:w="677" w:type="dxa"/>
            <w:vMerge w:val="continue"/>
            <w:vAlign w:val="center"/>
          </w:tcPr>
          <w:p>
            <w:pPr>
              <w:widowControl/>
              <w:spacing w:line="400" w:lineRule="exact"/>
              <w:jc w:val="center"/>
              <w:textAlignment w:val="center"/>
              <w:rPr>
                <w:rFonts w:ascii="宋体" w:hAnsi="宋体" w:eastAsia="宋体" w:cs="宋体"/>
                <w:color w:val="000000"/>
                <w:kern w:val="0"/>
                <w:szCs w:val="21"/>
              </w:rPr>
            </w:pPr>
          </w:p>
        </w:tc>
        <w:tc>
          <w:tcPr>
            <w:tcW w:w="709" w:type="dxa"/>
            <w:vMerge w:val="continue"/>
            <w:vAlign w:val="center"/>
          </w:tcPr>
          <w:p>
            <w:pPr>
              <w:widowControl/>
              <w:spacing w:line="400" w:lineRule="exact"/>
              <w:jc w:val="center"/>
              <w:textAlignment w:val="center"/>
              <w:rPr>
                <w:rFonts w:ascii="宋体" w:hAnsi="宋体" w:eastAsia="宋体" w:cs="宋体"/>
                <w:color w:val="000000"/>
                <w:kern w:val="0"/>
                <w:szCs w:val="21"/>
              </w:rPr>
            </w:pPr>
          </w:p>
        </w:tc>
        <w:tc>
          <w:tcPr>
            <w:tcW w:w="850" w:type="dxa"/>
            <w:vMerge w:val="continue"/>
            <w:vAlign w:val="center"/>
          </w:tcPr>
          <w:p>
            <w:pPr>
              <w:widowControl/>
              <w:spacing w:line="400" w:lineRule="exact"/>
              <w:jc w:val="center"/>
              <w:textAlignment w:val="center"/>
              <w:rPr>
                <w:rFonts w:ascii="宋体" w:hAnsi="宋体" w:eastAsia="宋体" w:cs="宋体"/>
                <w:color w:val="000000"/>
                <w:kern w:val="0"/>
                <w:szCs w:val="21"/>
              </w:rPr>
            </w:pP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1" w:hRule="atLeast"/>
          <w:jc w:val="center"/>
        </w:trPr>
        <w:tc>
          <w:tcPr>
            <w:tcW w:w="1309" w:type="dxa"/>
            <w:vAlign w:val="center"/>
          </w:tcPr>
          <w:p>
            <w:pPr>
              <w:widowControl/>
              <w:spacing w:line="400" w:lineRule="exact"/>
              <w:jc w:val="center"/>
              <w:textAlignment w:val="center"/>
              <w:rPr>
                <w:rFonts w:ascii="Times New Roman" w:hAnsi="Times New Roman" w:eastAsia="宋体" w:cs="Times New Roman"/>
                <w:i/>
                <w:iCs/>
                <w:color w:val="000000"/>
                <w:szCs w:val="21"/>
              </w:rPr>
            </w:pPr>
            <w:r>
              <w:rPr>
                <w:rFonts w:ascii="Times New Roman" w:hAnsi="Times New Roman" w:eastAsia="宋体" w:cs="Times New Roman"/>
                <w:i/>
                <w:iCs/>
                <w:color w:val="000000"/>
                <w:szCs w:val="21"/>
              </w:rPr>
              <w:t>C</w:t>
            </w:r>
            <w:r>
              <w:rPr>
                <w:rFonts w:ascii="Times New Roman" w:hAnsi="Times New Roman" w:eastAsia="宋体" w:cs="Times New Roman"/>
                <w:i/>
                <w:iCs/>
                <w:color w:val="000000"/>
                <w:szCs w:val="21"/>
                <w:vertAlign w:val="subscript"/>
              </w:rPr>
              <w:t>7</w:t>
            </w:r>
          </w:p>
        </w:tc>
        <w:tc>
          <w:tcPr>
            <w:tcW w:w="567" w:type="dxa"/>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4</w:t>
            </w:r>
          </w:p>
        </w:tc>
        <w:tc>
          <w:tcPr>
            <w:tcW w:w="567" w:type="dxa"/>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2</w:t>
            </w:r>
          </w:p>
        </w:tc>
        <w:tc>
          <w:tcPr>
            <w:tcW w:w="567" w:type="dxa"/>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1</w:t>
            </w:r>
          </w:p>
        </w:tc>
        <w:tc>
          <w:tcPr>
            <w:tcW w:w="567" w:type="dxa"/>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2</w:t>
            </w:r>
          </w:p>
        </w:tc>
        <w:tc>
          <w:tcPr>
            <w:tcW w:w="567" w:type="dxa"/>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3</w:t>
            </w:r>
          </w:p>
        </w:tc>
        <w:tc>
          <w:tcPr>
            <w:tcW w:w="567" w:type="dxa"/>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3</w:t>
            </w:r>
          </w:p>
        </w:tc>
        <w:tc>
          <w:tcPr>
            <w:tcW w:w="709" w:type="dxa"/>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0.33</w:t>
            </w:r>
          </w:p>
        </w:tc>
        <w:tc>
          <w:tcPr>
            <w:tcW w:w="708" w:type="dxa"/>
            <w:vMerge w:val="continue"/>
            <w:vAlign w:val="center"/>
          </w:tcPr>
          <w:p>
            <w:pPr>
              <w:widowControl/>
              <w:spacing w:line="400" w:lineRule="exact"/>
              <w:jc w:val="center"/>
              <w:textAlignment w:val="center"/>
              <w:rPr>
                <w:rFonts w:ascii="宋体" w:hAnsi="宋体" w:eastAsia="宋体" w:cs="宋体"/>
                <w:color w:val="000000"/>
                <w:kern w:val="0"/>
                <w:szCs w:val="21"/>
              </w:rPr>
            </w:pPr>
          </w:p>
        </w:tc>
        <w:tc>
          <w:tcPr>
            <w:tcW w:w="677" w:type="dxa"/>
            <w:vMerge w:val="continue"/>
            <w:vAlign w:val="center"/>
          </w:tcPr>
          <w:p>
            <w:pPr>
              <w:widowControl/>
              <w:spacing w:line="400" w:lineRule="exact"/>
              <w:jc w:val="center"/>
              <w:textAlignment w:val="center"/>
              <w:rPr>
                <w:rFonts w:ascii="宋体" w:hAnsi="宋体" w:eastAsia="宋体" w:cs="宋体"/>
                <w:color w:val="000000"/>
                <w:kern w:val="0"/>
                <w:szCs w:val="21"/>
              </w:rPr>
            </w:pPr>
          </w:p>
        </w:tc>
        <w:tc>
          <w:tcPr>
            <w:tcW w:w="709" w:type="dxa"/>
            <w:vMerge w:val="continue"/>
            <w:vAlign w:val="center"/>
          </w:tcPr>
          <w:p>
            <w:pPr>
              <w:widowControl/>
              <w:spacing w:line="400" w:lineRule="exact"/>
              <w:jc w:val="center"/>
              <w:textAlignment w:val="center"/>
              <w:rPr>
                <w:rFonts w:ascii="宋体" w:hAnsi="宋体" w:eastAsia="宋体" w:cs="宋体"/>
                <w:color w:val="000000"/>
                <w:kern w:val="0"/>
                <w:szCs w:val="21"/>
              </w:rPr>
            </w:pPr>
          </w:p>
        </w:tc>
        <w:tc>
          <w:tcPr>
            <w:tcW w:w="850" w:type="dxa"/>
            <w:vMerge w:val="continue"/>
            <w:vAlign w:val="center"/>
          </w:tcPr>
          <w:p>
            <w:pPr>
              <w:widowControl/>
              <w:spacing w:line="400" w:lineRule="exact"/>
              <w:jc w:val="center"/>
              <w:textAlignment w:val="center"/>
              <w:rPr>
                <w:rFonts w:ascii="宋体" w:hAnsi="宋体" w:eastAsia="宋体" w:cs="宋体"/>
                <w:color w:val="000000"/>
                <w:kern w:val="0"/>
                <w:szCs w:val="21"/>
              </w:rPr>
            </w:pP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0" w:hRule="atLeast"/>
          <w:jc w:val="center"/>
        </w:trPr>
        <w:tc>
          <w:tcPr>
            <w:tcW w:w="1309" w:type="dxa"/>
            <w:vAlign w:val="center"/>
          </w:tcPr>
          <w:p>
            <w:pPr>
              <w:widowControl/>
              <w:spacing w:line="400" w:lineRule="exact"/>
              <w:jc w:val="center"/>
              <w:textAlignment w:val="center"/>
              <w:rPr>
                <w:rFonts w:ascii="Times New Roman" w:hAnsi="Times New Roman" w:eastAsia="宋体" w:cs="Times New Roman"/>
                <w:i/>
                <w:iCs/>
                <w:color w:val="000000"/>
                <w:szCs w:val="21"/>
              </w:rPr>
            </w:pPr>
            <w:r>
              <w:rPr>
                <w:rFonts w:ascii="Times New Roman" w:hAnsi="Times New Roman" w:eastAsia="宋体" w:cs="Times New Roman"/>
                <w:i/>
                <w:iCs/>
                <w:color w:val="000000"/>
                <w:szCs w:val="21"/>
              </w:rPr>
              <w:t>C</w:t>
            </w:r>
            <w:r>
              <w:rPr>
                <w:rFonts w:ascii="Times New Roman" w:hAnsi="Times New Roman" w:eastAsia="宋体" w:cs="Times New Roman"/>
                <w:i/>
                <w:iCs/>
                <w:color w:val="000000"/>
                <w:szCs w:val="21"/>
                <w:vertAlign w:val="subscript"/>
              </w:rPr>
              <w:t>8</w:t>
            </w:r>
          </w:p>
        </w:tc>
        <w:tc>
          <w:tcPr>
            <w:tcW w:w="567" w:type="dxa"/>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3</w:t>
            </w:r>
          </w:p>
        </w:tc>
        <w:tc>
          <w:tcPr>
            <w:tcW w:w="567" w:type="dxa"/>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1</w:t>
            </w:r>
          </w:p>
        </w:tc>
        <w:tc>
          <w:tcPr>
            <w:tcW w:w="567" w:type="dxa"/>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1/2</w:t>
            </w:r>
          </w:p>
        </w:tc>
        <w:tc>
          <w:tcPr>
            <w:tcW w:w="567" w:type="dxa"/>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1</w:t>
            </w:r>
          </w:p>
        </w:tc>
        <w:tc>
          <w:tcPr>
            <w:tcW w:w="567" w:type="dxa"/>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2</w:t>
            </w:r>
          </w:p>
        </w:tc>
        <w:tc>
          <w:tcPr>
            <w:tcW w:w="567" w:type="dxa"/>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3</w:t>
            </w:r>
          </w:p>
        </w:tc>
        <w:tc>
          <w:tcPr>
            <w:tcW w:w="709" w:type="dxa"/>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0.21</w:t>
            </w:r>
          </w:p>
        </w:tc>
        <w:tc>
          <w:tcPr>
            <w:tcW w:w="708" w:type="dxa"/>
            <w:vMerge w:val="continue"/>
            <w:vAlign w:val="center"/>
          </w:tcPr>
          <w:p>
            <w:pPr>
              <w:widowControl/>
              <w:spacing w:line="400" w:lineRule="exact"/>
              <w:jc w:val="center"/>
              <w:textAlignment w:val="center"/>
              <w:rPr>
                <w:rFonts w:ascii="宋体" w:hAnsi="宋体" w:eastAsia="宋体" w:cs="宋体"/>
                <w:color w:val="000000"/>
                <w:kern w:val="0"/>
                <w:szCs w:val="21"/>
              </w:rPr>
            </w:pPr>
          </w:p>
        </w:tc>
        <w:tc>
          <w:tcPr>
            <w:tcW w:w="677" w:type="dxa"/>
            <w:vMerge w:val="continue"/>
            <w:vAlign w:val="center"/>
          </w:tcPr>
          <w:p>
            <w:pPr>
              <w:widowControl/>
              <w:spacing w:line="400" w:lineRule="exact"/>
              <w:jc w:val="center"/>
              <w:textAlignment w:val="center"/>
              <w:rPr>
                <w:rFonts w:ascii="宋体" w:hAnsi="宋体" w:eastAsia="宋体" w:cs="宋体"/>
                <w:color w:val="000000"/>
                <w:kern w:val="0"/>
                <w:szCs w:val="21"/>
              </w:rPr>
            </w:pPr>
          </w:p>
        </w:tc>
        <w:tc>
          <w:tcPr>
            <w:tcW w:w="709" w:type="dxa"/>
            <w:vMerge w:val="continue"/>
            <w:vAlign w:val="center"/>
          </w:tcPr>
          <w:p>
            <w:pPr>
              <w:widowControl/>
              <w:spacing w:line="400" w:lineRule="exact"/>
              <w:jc w:val="center"/>
              <w:textAlignment w:val="center"/>
              <w:rPr>
                <w:rFonts w:ascii="宋体" w:hAnsi="宋体" w:eastAsia="宋体" w:cs="宋体"/>
                <w:color w:val="000000"/>
                <w:kern w:val="0"/>
                <w:szCs w:val="21"/>
              </w:rPr>
            </w:pPr>
          </w:p>
        </w:tc>
        <w:tc>
          <w:tcPr>
            <w:tcW w:w="850" w:type="dxa"/>
            <w:vMerge w:val="continue"/>
            <w:vAlign w:val="center"/>
          </w:tcPr>
          <w:p>
            <w:pPr>
              <w:widowControl/>
              <w:spacing w:line="400" w:lineRule="exact"/>
              <w:jc w:val="center"/>
              <w:textAlignment w:val="center"/>
              <w:rPr>
                <w:rFonts w:ascii="宋体" w:hAnsi="宋体" w:eastAsia="宋体" w:cs="宋体"/>
                <w:color w:val="000000"/>
                <w:kern w:val="0"/>
                <w:szCs w:val="21"/>
              </w:rPr>
            </w:pP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0" w:hRule="atLeast"/>
          <w:jc w:val="center"/>
        </w:trPr>
        <w:tc>
          <w:tcPr>
            <w:tcW w:w="1309" w:type="dxa"/>
            <w:vAlign w:val="center"/>
          </w:tcPr>
          <w:p>
            <w:pPr>
              <w:widowControl/>
              <w:spacing w:line="400" w:lineRule="exact"/>
              <w:jc w:val="center"/>
              <w:textAlignment w:val="center"/>
              <w:rPr>
                <w:rFonts w:ascii="Times New Roman" w:hAnsi="Times New Roman" w:eastAsia="宋体" w:cs="Times New Roman"/>
                <w:i/>
                <w:iCs/>
                <w:color w:val="000000"/>
                <w:kern w:val="0"/>
                <w:szCs w:val="21"/>
              </w:rPr>
            </w:pPr>
            <w:r>
              <w:rPr>
                <w:rFonts w:ascii="Times New Roman" w:hAnsi="Times New Roman" w:eastAsia="宋体" w:cs="Times New Roman"/>
                <w:i/>
                <w:iCs/>
                <w:color w:val="000000"/>
                <w:kern w:val="0"/>
                <w:szCs w:val="21"/>
              </w:rPr>
              <w:t>C</w:t>
            </w:r>
            <w:r>
              <w:rPr>
                <w:rFonts w:ascii="Times New Roman" w:hAnsi="Times New Roman" w:eastAsia="宋体" w:cs="Times New Roman"/>
                <w:i/>
                <w:iCs/>
                <w:color w:val="000000"/>
                <w:kern w:val="0"/>
                <w:szCs w:val="21"/>
                <w:vertAlign w:val="subscript"/>
              </w:rPr>
              <w:t>9</w:t>
            </w:r>
          </w:p>
        </w:tc>
        <w:tc>
          <w:tcPr>
            <w:tcW w:w="567" w:type="dxa"/>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2</w:t>
            </w:r>
          </w:p>
        </w:tc>
        <w:tc>
          <w:tcPr>
            <w:tcW w:w="567" w:type="dxa"/>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1</w:t>
            </w:r>
          </w:p>
        </w:tc>
        <w:tc>
          <w:tcPr>
            <w:tcW w:w="567" w:type="dxa"/>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1/3</w:t>
            </w:r>
          </w:p>
        </w:tc>
        <w:tc>
          <w:tcPr>
            <w:tcW w:w="567" w:type="dxa"/>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1/2</w:t>
            </w:r>
          </w:p>
        </w:tc>
        <w:tc>
          <w:tcPr>
            <w:tcW w:w="567" w:type="dxa"/>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1</w:t>
            </w:r>
          </w:p>
        </w:tc>
        <w:tc>
          <w:tcPr>
            <w:tcW w:w="567" w:type="dxa"/>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2</w:t>
            </w:r>
          </w:p>
        </w:tc>
        <w:tc>
          <w:tcPr>
            <w:tcW w:w="709" w:type="dxa"/>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0.14</w:t>
            </w:r>
          </w:p>
        </w:tc>
        <w:tc>
          <w:tcPr>
            <w:tcW w:w="708" w:type="dxa"/>
            <w:vMerge w:val="continue"/>
            <w:vAlign w:val="center"/>
          </w:tcPr>
          <w:p>
            <w:pPr>
              <w:widowControl/>
              <w:spacing w:line="400" w:lineRule="exact"/>
              <w:jc w:val="center"/>
              <w:textAlignment w:val="center"/>
              <w:rPr>
                <w:rFonts w:ascii="宋体" w:hAnsi="宋体" w:eastAsia="宋体" w:cs="宋体"/>
                <w:color w:val="000000"/>
                <w:kern w:val="0"/>
                <w:szCs w:val="21"/>
              </w:rPr>
            </w:pPr>
          </w:p>
        </w:tc>
        <w:tc>
          <w:tcPr>
            <w:tcW w:w="677" w:type="dxa"/>
            <w:vMerge w:val="continue"/>
            <w:vAlign w:val="center"/>
          </w:tcPr>
          <w:p>
            <w:pPr>
              <w:widowControl/>
              <w:spacing w:line="400" w:lineRule="exact"/>
              <w:jc w:val="center"/>
              <w:textAlignment w:val="center"/>
              <w:rPr>
                <w:rFonts w:ascii="宋体" w:hAnsi="宋体" w:eastAsia="宋体" w:cs="宋体"/>
                <w:color w:val="000000"/>
                <w:kern w:val="0"/>
                <w:szCs w:val="21"/>
              </w:rPr>
            </w:pPr>
          </w:p>
        </w:tc>
        <w:tc>
          <w:tcPr>
            <w:tcW w:w="709" w:type="dxa"/>
            <w:vMerge w:val="continue"/>
            <w:vAlign w:val="center"/>
          </w:tcPr>
          <w:p>
            <w:pPr>
              <w:widowControl/>
              <w:spacing w:line="400" w:lineRule="exact"/>
              <w:jc w:val="center"/>
              <w:textAlignment w:val="center"/>
              <w:rPr>
                <w:rFonts w:ascii="宋体" w:hAnsi="宋体" w:eastAsia="宋体" w:cs="宋体"/>
                <w:color w:val="000000"/>
                <w:kern w:val="0"/>
                <w:szCs w:val="21"/>
              </w:rPr>
            </w:pPr>
          </w:p>
        </w:tc>
        <w:tc>
          <w:tcPr>
            <w:tcW w:w="850" w:type="dxa"/>
            <w:vMerge w:val="continue"/>
            <w:vAlign w:val="center"/>
          </w:tcPr>
          <w:p>
            <w:pPr>
              <w:widowControl/>
              <w:spacing w:line="400" w:lineRule="exact"/>
              <w:jc w:val="center"/>
              <w:textAlignment w:val="center"/>
              <w:rPr>
                <w:rFonts w:ascii="宋体" w:hAnsi="宋体" w:eastAsia="宋体" w:cs="宋体"/>
                <w:color w:val="000000"/>
                <w:kern w:val="0"/>
                <w:szCs w:val="21"/>
              </w:rPr>
            </w:pP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0" w:hRule="atLeast"/>
          <w:jc w:val="center"/>
        </w:trPr>
        <w:tc>
          <w:tcPr>
            <w:tcW w:w="1309" w:type="dxa"/>
            <w:vAlign w:val="center"/>
          </w:tcPr>
          <w:p>
            <w:pPr>
              <w:widowControl/>
              <w:spacing w:line="400" w:lineRule="exact"/>
              <w:jc w:val="center"/>
              <w:textAlignment w:val="center"/>
              <w:rPr>
                <w:rFonts w:ascii="Times New Roman" w:hAnsi="Times New Roman" w:eastAsia="宋体" w:cs="Times New Roman"/>
                <w:i/>
                <w:iCs/>
                <w:color w:val="000000"/>
                <w:kern w:val="0"/>
                <w:szCs w:val="21"/>
              </w:rPr>
            </w:pPr>
            <w:r>
              <w:rPr>
                <w:rFonts w:ascii="Times New Roman" w:hAnsi="Times New Roman" w:eastAsia="宋体" w:cs="Times New Roman"/>
                <w:i/>
                <w:iCs/>
                <w:color w:val="000000"/>
                <w:kern w:val="0"/>
                <w:szCs w:val="21"/>
              </w:rPr>
              <w:t>C</w:t>
            </w:r>
            <w:r>
              <w:rPr>
                <w:rFonts w:ascii="Times New Roman" w:hAnsi="Times New Roman" w:eastAsia="宋体" w:cs="Times New Roman"/>
                <w:i/>
                <w:iCs/>
                <w:color w:val="000000"/>
                <w:kern w:val="0"/>
                <w:szCs w:val="21"/>
                <w:vertAlign w:val="subscript"/>
              </w:rPr>
              <w:t>10</w:t>
            </w:r>
          </w:p>
        </w:tc>
        <w:tc>
          <w:tcPr>
            <w:tcW w:w="567" w:type="dxa"/>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3</w:t>
            </w:r>
          </w:p>
        </w:tc>
        <w:tc>
          <w:tcPr>
            <w:tcW w:w="567" w:type="dxa"/>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1/2</w:t>
            </w:r>
          </w:p>
        </w:tc>
        <w:tc>
          <w:tcPr>
            <w:tcW w:w="567" w:type="dxa"/>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1/3</w:t>
            </w:r>
          </w:p>
        </w:tc>
        <w:tc>
          <w:tcPr>
            <w:tcW w:w="567" w:type="dxa"/>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1/3</w:t>
            </w:r>
          </w:p>
        </w:tc>
        <w:tc>
          <w:tcPr>
            <w:tcW w:w="567" w:type="dxa"/>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1/2</w:t>
            </w:r>
          </w:p>
        </w:tc>
        <w:tc>
          <w:tcPr>
            <w:tcW w:w="567" w:type="dxa"/>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1</w:t>
            </w:r>
          </w:p>
        </w:tc>
        <w:tc>
          <w:tcPr>
            <w:tcW w:w="709" w:type="dxa"/>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0.1</w:t>
            </w:r>
            <w:r>
              <w:rPr>
                <w:rFonts w:ascii="宋体" w:hAnsi="宋体" w:eastAsia="宋体"/>
                <w:color w:val="000000"/>
                <w:szCs w:val="21"/>
              </w:rPr>
              <w:t>0</w:t>
            </w:r>
          </w:p>
        </w:tc>
        <w:tc>
          <w:tcPr>
            <w:tcW w:w="708" w:type="dxa"/>
            <w:vMerge w:val="continue"/>
            <w:vAlign w:val="center"/>
          </w:tcPr>
          <w:p>
            <w:pPr>
              <w:widowControl/>
              <w:spacing w:line="400" w:lineRule="exact"/>
              <w:jc w:val="center"/>
              <w:textAlignment w:val="center"/>
              <w:rPr>
                <w:rFonts w:ascii="宋体" w:hAnsi="宋体" w:eastAsia="宋体" w:cs="宋体"/>
                <w:color w:val="000000"/>
                <w:kern w:val="0"/>
                <w:szCs w:val="21"/>
              </w:rPr>
            </w:pPr>
          </w:p>
        </w:tc>
        <w:tc>
          <w:tcPr>
            <w:tcW w:w="677" w:type="dxa"/>
            <w:vMerge w:val="continue"/>
            <w:vAlign w:val="center"/>
          </w:tcPr>
          <w:p>
            <w:pPr>
              <w:widowControl/>
              <w:spacing w:line="400" w:lineRule="exact"/>
              <w:jc w:val="center"/>
              <w:textAlignment w:val="center"/>
              <w:rPr>
                <w:rFonts w:ascii="宋体" w:hAnsi="宋体" w:eastAsia="宋体" w:cs="宋体"/>
                <w:color w:val="000000"/>
                <w:kern w:val="0"/>
                <w:szCs w:val="21"/>
              </w:rPr>
            </w:pPr>
          </w:p>
        </w:tc>
        <w:tc>
          <w:tcPr>
            <w:tcW w:w="709" w:type="dxa"/>
            <w:vMerge w:val="continue"/>
            <w:vAlign w:val="center"/>
          </w:tcPr>
          <w:p>
            <w:pPr>
              <w:widowControl/>
              <w:spacing w:line="400" w:lineRule="exact"/>
              <w:jc w:val="center"/>
              <w:textAlignment w:val="center"/>
              <w:rPr>
                <w:rFonts w:ascii="宋体" w:hAnsi="宋体" w:eastAsia="宋体" w:cs="宋体"/>
                <w:color w:val="000000"/>
                <w:kern w:val="0"/>
                <w:szCs w:val="21"/>
              </w:rPr>
            </w:pPr>
          </w:p>
        </w:tc>
        <w:tc>
          <w:tcPr>
            <w:tcW w:w="850" w:type="dxa"/>
            <w:vMerge w:val="continue"/>
            <w:vAlign w:val="center"/>
          </w:tcPr>
          <w:p>
            <w:pPr>
              <w:widowControl/>
              <w:spacing w:line="400" w:lineRule="exact"/>
              <w:jc w:val="center"/>
              <w:textAlignment w:val="center"/>
              <w:rPr>
                <w:rFonts w:ascii="宋体" w:hAnsi="宋体" w:eastAsia="宋体" w:cs="宋体"/>
                <w:color w:val="000000"/>
                <w:kern w:val="0"/>
                <w:szCs w:val="21"/>
              </w:rPr>
            </w:pPr>
          </w:p>
        </w:tc>
      </w:tr>
    </w:tbl>
    <w:p>
      <w:pPr>
        <w:spacing w:line="400" w:lineRule="exact"/>
        <w:rPr>
          <w:rFonts w:ascii="宋体" w:hAnsi="宋体" w:eastAsia="宋体"/>
          <w:szCs w:val="21"/>
        </w:rPr>
      </w:pPr>
    </w:p>
    <w:p>
      <w:pPr>
        <w:spacing w:line="400" w:lineRule="exact"/>
        <w:jc w:val="center"/>
        <w:rPr>
          <w:rFonts w:ascii="宋体" w:hAnsi="宋体" w:eastAsia="宋体"/>
          <w:szCs w:val="21"/>
        </w:rPr>
      </w:pPr>
      <w:r>
        <w:rPr>
          <w:rFonts w:hint="eastAsia" w:ascii="宋体" w:hAnsi="宋体" w:eastAsia="宋体"/>
          <w:szCs w:val="21"/>
        </w:rPr>
        <w:t>表</w:t>
      </w:r>
      <w:r>
        <w:rPr>
          <w:rFonts w:ascii="宋体" w:hAnsi="宋体" w:eastAsia="宋体"/>
          <w:szCs w:val="21"/>
        </w:rPr>
        <w:t xml:space="preserve">5  </w:t>
      </w:r>
      <w:r>
        <w:rPr>
          <w:rFonts w:hint="eastAsia" w:ascii="宋体" w:hAnsi="宋体" w:eastAsia="宋体"/>
          <w:szCs w:val="21"/>
        </w:rPr>
        <w:t>准则层</w:t>
      </w:r>
      <w:r>
        <w:rPr>
          <w:rFonts w:ascii="Times New Roman" w:hAnsi="Times New Roman" w:eastAsia="宋体" w:cs="Times New Roman"/>
          <w:i/>
          <w:iCs/>
          <w:szCs w:val="21"/>
        </w:rPr>
        <w:t>B3</w:t>
      </w:r>
      <w:r>
        <w:rPr>
          <w:rFonts w:hint="eastAsia" w:ascii="宋体" w:hAnsi="宋体" w:eastAsia="宋体"/>
          <w:szCs w:val="21"/>
        </w:rPr>
        <w:t>各指标</w:t>
      </w:r>
      <w:r>
        <w:rPr>
          <w:rFonts w:ascii="宋体" w:hAnsi="宋体" w:eastAsia="宋体"/>
          <w:szCs w:val="21"/>
        </w:rPr>
        <w:t>判断矩阵</w:t>
      </w:r>
      <w:r>
        <w:rPr>
          <w:rFonts w:hint="eastAsia" w:ascii="宋体" w:hAnsi="宋体" w:eastAsia="宋体"/>
          <w:szCs w:val="21"/>
        </w:rPr>
        <w:t>及</w:t>
      </w:r>
      <w:r>
        <w:rPr>
          <w:rFonts w:ascii="宋体" w:hAnsi="宋体" w:eastAsia="宋体"/>
          <w:szCs w:val="21"/>
        </w:rPr>
        <w:t>一致性检验结果</w:t>
      </w:r>
    </w:p>
    <w:tbl>
      <w:tblPr>
        <w:tblStyle w:val="8"/>
        <w:tblW w:w="7225" w:type="dxa"/>
        <w:jc w:val="center"/>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555"/>
        <w:gridCol w:w="708"/>
        <w:gridCol w:w="709"/>
        <w:gridCol w:w="567"/>
        <w:gridCol w:w="851"/>
        <w:gridCol w:w="708"/>
        <w:gridCol w:w="709"/>
        <w:gridCol w:w="567"/>
        <w:gridCol w:w="851"/>
      </w:tblGrid>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1" w:hRule="atLeast"/>
          <w:jc w:val="center"/>
        </w:trPr>
        <w:tc>
          <w:tcPr>
            <w:tcW w:w="1555" w:type="dxa"/>
            <w:tcBorders>
              <w:top w:val="single" w:color="000000" w:themeColor="text1" w:sz="4" w:space="0"/>
              <w:bottom w:val="single" w:color="000000" w:themeColor="text1" w:sz="4" w:space="0"/>
            </w:tcBorders>
            <w:vAlign w:val="center"/>
          </w:tcPr>
          <w:p>
            <w:pPr>
              <w:widowControl/>
              <w:spacing w:line="4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资助工作人员的专业性</w:t>
            </w:r>
            <w:r>
              <w:rPr>
                <w:rFonts w:ascii="Times New Roman" w:hAnsi="Times New Roman" w:eastAsia="宋体" w:cs="Times New Roman"/>
                <w:i/>
                <w:iCs/>
                <w:color w:val="000000"/>
                <w:kern w:val="0"/>
                <w:szCs w:val="21"/>
              </w:rPr>
              <w:t>B</w:t>
            </w:r>
            <w:r>
              <w:rPr>
                <w:rFonts w:ascii="Times New Roman" w:hAnsi="Times New Roman" w:eastAsia="宋体" w:cs="Times New Roman"/>
                <w:i/>
                <w:iCs/>
                <w:color w:val="000000"/>
                <w:kern w:val="0"/>
                <w:szCs w:val="21"/>
                <w:vertAlign w:val="subscript"/>
              </w:rPr>
              <w:t>3</w:t>
            </w:r>
          </w:p>
        </w:tc>
        <w:tc>
          <w:tcPr>
            <w:tcW w:w="708" w:type="dxa"/>
            <w:tcBorders>
              <w:top w:val="single" w:color="000000" w:themeColor="text1" w:sz="4" w:space="0"/>
              <w:bottom w:val="single" w:color="000000" w:themeColor="text1" w:sz="4" w:space="0"/>
            </w:tcBorders>
            <w:vAlign w:val="center"/>
          </w:tcPr>
          <w:p>
            <w:pPr>
              <w:widowControl/>
              <w:spacing w:line="400" w:lineRule="exact"/>
              <w:jc w:val="center"/>
              <w:textAlignment w:val="center"/>
              <w:rPr>
                <w:rFonts w:ascii="Times New Roman" w:hAnsi="Times New Roman" w:eastAsia="宋体" w:cs="Times New Roman"/>
                <w:i/>
                <w:iCs/>
                <w:color w:val="000000"/>
                <w:szCs w:val="21"/>
              </w:rPr>
            </w:pPr>
            <w:r>
              <w:rPr>
                <w:rFonts w:ascii="Times New Roman" w:hAnsi="Times New Roman" w:eastAsia="宋体" w:cs="Times New Roman"/>
                <w:i/>
                <w:iCs/>
                <w:color w:val="000000"/>
                <w:kern w:val="0"/>
                <w:szCs w:val="21"/>
              </w:rPr>
              <w:t>C</w:t>
            </w:r>
            <w:r>
              <w:rPr>
                <w:rFonts w:ascii="Times New Roman" w:hAnsi="Times New Roman" w:eastAsia="宋体" w:cs="Times New Roman"/>
                <w:i/>
                <w:iCs/>
                <w:color w:val="000000"/>
                <w:kern w:val="0"/>
                <w:szCs w:val="21"/>
                <w:vertAlign w:val="subscript"/>
              </w:rPr>
              <w:t>11</w:t>
            </w:r>
          </w:p>
        </w:tc>
        <w:tc>
          <w:tcPr>
            <w:tcW w:w="709" w:type="dxa"/>
            <w:tcBorders>
              <w:top w:val="single" w:color="000000" w:themeColor="text1" w:sz="4" w:space="0"/>
              <w:bottom w:val="single" w:color="000000" w:themeColor="text1" w:sz="4" w:space="0"/>
            </w:tcBorders>
            <w:vAlign w:val="center"/>
          </w:tcPr>
          <w:p>
            <w:pPr>
              <w:widowControl/>
              <w:spacing w:line="400" w:lineRule="exact"/>
              <w:jc w:val="center"/>
              <w:textAlignment w:val="center"/>
              <w:rPr>
                <w:rFonts w:ascii="Times New Roman" w:hAnsi="Times New Roman" w:eastAsia="宋体" w:cs="Times New Roman"/>
                <w:i/>
                <w:iCs/>
                <w:color w:val="000000"/>
                <w:szCs w:val="21"/>
              </w:rPr>
            </w:pPr>
            <w:r>
              <w:rPr>
                <w:rFonts w:ascii="Times New Roman" w:hAnsi="Times New Roman" w:eastAsia="宋体" w:cs="Times New Roman"/>
                <w:i/>
                <w:iCs/>
                <w:color w:val="000000"/>
                <w:kern w:val="0"/>
                <w:szCs w:val="21"/>
              </w:rPr>
              <w:t>C</w:t>
            </w:r>
            <w:r>
              <w:rPr>
                <w:rFonts w:ascii="Times New Roman" w:hAnsi="Times New Roman" w:eastAsia="宋体" w:cs="Times New Roman"/>
                <w:i/>
                <w:iCs/>
                <w:color w:val="000000"/>
                <w:kern w:val="0"/>
                <w:szCs w:val="21"/>
                <w:vertAlign w:val="subscript"/>
              </w:rPr>
              <w:t>12</w:t>
            </w:r>
          </w:p>
        </w:tc>
        <w:tc>
          <w:tcPr>
            <w:tcW w:w="567" w:type="dxa"/>
            <w:tcBorders>
              <w:top w:val="single" w:color="000000" w:themeColor="text1" w:sz="4" w:space="0"/>
              <w:bottom w:val="single" w:color="000000" w:themeColor="text1" w:sz="4" w:space="0"/>
            </w:tcBorders>
            <w:vAlign w:val="center"/>
          </w:tcPr>
          <w:p>
            <w:pPr>
              <w:widowControl/>
              <w:spacing w:line="400" w:lineRule="exact"/>
              <w:jc w:val="center"/>
              <w:textAlignment w:val="center"/>
              <w:rPr>
                <w:rFonts w:ascii="Times New Roman" w:hAnsi="Times New Roman" w:eastAsia="宋体" w:cs="Times New Roman"/>
                <w:i/>
                <w:iCs/>
                <w:color w:val="000000"/>
                <w:szCs w:val="21"/>
              </w:rPr>
            </w:pPr>
            <w:r>
              <w:rPr>
                <w:rFonts w:ascii="Times New Roman" w:hAnsi="Times New Roman" w:eastAsia="宋体" w:cs="Times New Roman"/>
                <w:i/>
                <w:iCs/>
                <w:color w:val="000000"/>
                <w:kern w:val="0"/>
                <w:szCs w:val="21"/>
              </w:rPr>
              <w:t>C</w:t>
            </w:r>
            <w:r>
              <w:rPr>
                <w:rFonts w:ascii="Times New Roman" w:hAnsi="Times New Roman" w:eastAsia="宋体" w:cs="Times New Roman"/>
                <w:i/>
                <w:iCs/>
                <w:color w:val="000000"/>
                <w:kern w:val="0"/>
                <w:szCs w:val="21"/>
                <w:vertAlign w:val="subscript"/>
              </w:rPr>
              <w:t>13</w:t>
            </w:r>
          </w:p>
        </w:tc>
        <w:tc>
          <w:tcPr>
            <w:tcW w:w="851" w:type="dxa"/>
            <w:tcBorders>
              <w:top w:val="single" w:color="000000" w:themeColor="text1" w:sz="4" w:space="0"/>
              <w:bottom w:val="single" w:color="000000" w:themeColor="text1" w:sz="4" w:space="0"/>
            </w:tcBorders>
            <w:vAlign w:val="center"/>
          </w:tcPr>
          <w:p>
            <w:pPr>
              <w:spacing w:line="400" w:lineRule="exact"/>
              <w:jc w:val="center"/>
              <w:textAlignment w:val="center"/>
              <w:rPr>
                <w:rFonts w:ascii="Times New Roman" w:hAnsi="Times New Roman" w:eastAsia="宋体" w:cs="Times New Roman"/>
                <w:i/>
                <w:iCs/>
                <w:color w:val="000000"/>
                <w:kern w:val="0"/>
                <w:szCs w:val="21"/>
              </w:rPr>
            </w:pPr>
            <w:r>
              <w:rPr>
                <w:rFonts w:ascii="Times New Roman" w:hAnsi="Times New Roman" w:eastAsia="宋体" w:cs="Times New Roman"/>
                <w:i/>
                <w:iCs/>
                <w:color w:val="000000"/>
                <w:kern w:val="0"/>
                <w:szCs w:val="21"/>
              </w:rPr>
              <w:t>W</w:t>
            </w:r>
          </w:p>
        </w:tc>
        <w:tc>
          <w:tcPr>
            <w:tcW w:w="708" w:type="dxa"/>
            <w:tcBorders>
              <w:top w:val="single" w:color="000000" w:themeColor="text1" w:sz="4" w:space="0"/>
              <w:bottom w:val="single" w:color="000000" w:themeColor="text1" w:sz="4" w:space="0"/>
            </w:tcBorders>
            <w:vAlign w:val="center"/>
          </w:tcPr>
          <w:p>
            <w:pPr>
              <w:widowControl/>
              <w:spacing w:line="400" w:lineRule="exact"/>
              <w:jc w:val="center"/>
              <w:textAlignment w:val="center"/>
              <w:rPr>
                <w:rFonts w:ascii="Times New Roman" w:hAnsi="Times New Roman" w:eastAsia="宋体" w:cs="Times New Roman"/>
                <w:i/>
                <w:iCs/>
                <w:color w:val="000000"/>
                <w:kern w:val="0"/>
                <w:szCs w:val="21"/>
              </w:rPr>
            </w:pPr>
            <w:r>
              <w:rPr>
                <w:rFonts w:ascii="Times New Roman" w:hAnsi="Times New Roman" w:eastAsia="宋体" w:cs="Times New Roman"/>
                <w:i/>
                <w:iCs/>
                <w:color w:val="000000"/>
                <w:kern w:val="0"/>
                <w:position w:val="-6"/>
                <w:szCs w:val="21"/>
              </w:rPr>
              <w:object>
                <v:shape id="_x0000_i1028" o:spt="75" type="#_x0000_t75" style="height:12pt;width:24pt;" o:ole="t" filled="f" o:preferrelative="t" stroked="f" coordsize="21600,21600">
                  <v:path/>
                  <v:fill on="f" focussize="0,0"/>
                  <v:stroke on="f" joinstyle="miter"/>
                  <v:imagedata r:id="rId6" o:title=""/>
                  <o:lock v:ext="edit" aspectratio="t"/>
                  <w10:wrap type="none"/>
                  <w10:anchorlock/>
                </v:shape>
                <o:OLEObject Type="Embed" ProgID="Equation.3" ShapeID="_x0000_i1028" DrawAspect="Content" ObjectID="_1468075728" r:id="rId9">
                  <o:LockedField>false</o:LockedField>
                </o:OLEObject>
              </w:object>
            </w:r>
          </w:p>
        </w:tc>
        <w:tc>
          <w:tcPr>
            <w:tcW w:w="709" w:type="dxa"/>
            <w:tcBorders>
              <w:top w:val="single" w:color="000000" w:themeColor="text1" w:sz="4" w:space="0"/>
              <w:bottom w:val="single" w:color="000000" w:themeColor="text1" w:sz="4" w:space="0"/>
            </w:tcBorders>
            <w:vAlign w:val="center"/>
          </w:tcPr>
          <w:p>
            <w:pPr>
              <w:widowControl/>
              <w:spacing w:line="400" w:lineRule="exact"/>
              <w:jc w:val="center"/>
              <w:textAlignment w:val="center"/>
              <w:rPr>
                <w:rFonts w:ascii="Times New Roman" w:hAnsi="Times New Roman" w:eastAsia="宋体" w:cs="Times New Roman"/>
                <w:i/>
                <w:iCs/>
                <w:color w:val="000000"/>
                <w:kern w:val="0"/>
                <w:szCs w:val="21"/>
              </w:rPr>
            </w:pPr>
            <w:r>
              <w:rPr>
                <w:rFonts w:ascii="Times New Roman" w:hAnsi="Times New Roman" w:eastAsia="宋体" w:cs="Times New Roman"/>
                <w:i/>
                <w:iCs/>
                <w:color w:val="000000"/>
                <w:kern w:val="0"/>
                <w:szCs w:val="21"/>
              </w:rPr>
              <w:t>CI</w:t>
            </w:r>
          </w:p>
        </w:tc>
        <w:tc>
          <w:tcPr>
            <w:tcW w:w="567" w:type="dxa"/>
            <w:tcBorders>
              <w:top w:val="single" w:color="000000" w:themeColor="text1" w:sz="4" w:space="0"/>
              <w:bottom w:val="single" w:color="000000" w:themeColor="text1" w:sz="4" w:space="0"/>
            </w:tcBorders>
            <w:vAlign w:val="center"/>
          </w:tcPr>
          <w:p>
            <w:pPr>
              <w:widowControl/>
              <w:spacing w:line="400" w:lineRule="exact"/>
              <w:jc w:val="center"/>
              <w:textAlignment w:val="center"/>
              <w:rPr>
                <w:rFonts w:ascii="Times New Roman" w:hAnsi="Times New Roman" w:eastAsia="宋体" w:cs="Times New Roman"/>
                <w:i/>
                <w:iCs/>
                <w:color w:val="000000"/>
                <w:kern w:val="0"/>
                <w:szCs w:val="21"/>
              </w:rPr>
            </w:pPr>
            <w:r>
              <w:rPr>
                <w:rFonts w:ascii="Times New Roman" w:hAnsi="Times New Roman" w:eastAsia="宋体" w:cs="Times New Roman"/>
                <w:i/>
                <w:iCs/>
                <w:color w:val="000000"/>
                <w:kern w:val="0"/>
                <w:szCs w:val="21"/>
              </w:rPr>
              <w:t>RI</w:t>
            </w:r>
          </w:p>
        </w:tc>
        <w:tc>
          <w:tcPr>
            <w:tcW w:w="851" w:type="dxa"/>
            <w:tcBorders>
              <w:top w:val="single" w:color="000000" w:themeColor="text1" w:sz="4" w:space="0"/>
              <w:bottom w:val="single" w:color="000000" w:themeColor="text1" w:sz="4" w:space="0"/>
            </w:tcBorders>
            <w:vAlign w:val="center"/>
          </w:tcPr>
          <w:p>
            <w:pPr>
              <w:widowControl/>
              <w:spacing w:line="400" w:lineRule="exact"/>
              <w:jc w:val="center"/>
              <w:textAlignment w:val="center"/>
              <w:rPr>
                <w:rFonts w:ascii="Times New Roman" w:hAnsi="Times New Roman" w:eastAsia="宋体" w:cs="Times New Roman"/>
                <w:i/>
                <w:iCs/>
                <w:color w:val="000000"/>
                <w:kern w:val="0"/>
                <w:szCs w:val="21"/>
              </w:rPr>
            </w:pPr>
            <w:r>
              <w:rPr>
                <w:rFonts w:ascii="Times New Roman" w:hAnsi="Times New Roman" w:eastAsia="宋体" w:cs="Times New Roman"/>
                <w:i/>
                <w:iCs/>
                <w:color w:val="000000"/>
                <w:kern w:val="0"/>
                <w:szCs w:val="21"/>
              </w:rPr>
              <w:t>CR</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0" w:hRule="atLeast"/>
          <w:jc w:val="center"/>
        </w:trPr>
        <w:tc>
          <w:tcPr>
            <w:tcW w:w="1555" w:type="dxa"/>
            <w:tcBorders>
              <w:top w:val="single" w:color="000000" w:themeColor="text1" w:sz="4" w:space="0"/>
            </w:tcBorders>
            <w:vAlign w:val="center"/>
          </w:tcPr>
          <w:p>
            <w:pPr>
              <w:widowControl/>
              <w:spacing w:line="400" w:lineRule="exact"/>
              <w:jc w:val="center"/>
              <w:textAlignment w:val="center"/>
              <w:rPr>
                <w:rFonts w:ascii="Times New Roman" w:hAnsi="Times New Roman" w:eastAsia="宋体" w:cs="Times New Roman"/>
                <w:i/>
                <w:iCs/>
                <w:color w:val="000000"/>
                <w:szCs w:val="21"/>
              </w:rPr>
            </w:pPr>
            <w:r>
              <w:rPr>
                <w:rFonts w:ascii="Times New Roman" w:hAnsi="Times New Roman" w:eastAsia="宋体" w:cs="Times New Roman"/>
                <w:i/>
                <w:iCs/>
                <w:color w:val="000000"/>
                <w:kern w:val="0"/>
                <w:szCs w:val="21"/>
              </w:rPr>
              <w:t>C</w:t>
            </w:r>
            <w:r>
              <w:rPr>
                <w:rFonts w:ascii="Times New Roman" w:hAnsi="Times New Roman" w:eastAsia="宋体" w:cs="Times New Roman"/>
                <w:i/>
                <w:iCs/>
                <w:color w:val="000000"/>
                <w:kern w:val="0"/>
                <w:szCs w:val="21"/>
                <w:vertAlign w:val="subscript"/>
              </w:rPr>
              <w:t>11</w:t>
            </w:r>
          </w:p>
        </w:tc>
        <w:tc>
          <w:tcPr>
            <w:tcW w:w="708" w:type="dxa"/>
            <w:tcBorders>
              <w:top w:val="single" w:color="000000" w:themeColor="text1" w:sz="4" w:space="0"/>
            </w:tcBorders>
            <w:vAlign w:val="bottom"/>
          </w:tcPr>
          <w:p>
            <w:pPr>
              <w:widowControl/>
              <w:spacing w:line="400" w:lineRule="exact"/>
              <w:jc w:val="center"/>
              <w:rPr>
                <w:rFonts w:ascii="宋体" w:hAnsi="宋体" w:eastAsia="宋体"/>
                <w:color w:val="000000"/>
                <w:szCs w:val="21"/>
              </w:rPr>
            </w:pPr>
            <w:r>
              <w:rPr>
                <w:rFonts w:hint="eastAsia" w:ascii="宋体" w:hAnsi="宋体" w:eastAsia="宋体"/>
                <w:color w:val="000000"/>
                <w:szCs w:val="21"/>
              </w:rPr>
              <w:t>1</w:t>
            </w:r>
          </w:p>
        </w:tc>
        <w:tc>
          <w:tcPr>
            <w:tcW w:w="709" w:type="dxa"/>
            <w:tcBorders>
              <w:top w:val="single" w:color="000000" w:themeColor="text1" w:sz="4" w:space="0"/>
            </w:tcBorders>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1/3</w:t>
            </w:r>
          </w:p>
        </w:tc>
        <w:tc>
          <w:tcPr>
            <w:tcW w:w="567" w:type="dxa"/>
            <w:tcBorders>
              <w:top w:val="single" w:color="000000" w:themeColor="text1" w:sz="4" w:space="0"/>
            </w:tcBorders>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1/3</w:t>
            </w:r>
          </w:p>
        </w:tc>
        <w:tc>
          <w:tcPr>
            <w:tcW w:w="851" w:type="dxa"/>
            <w:tcBorders>
              <w:top w:val="single" w:color="000000" w:themeColor="text1" w:sz="4" w:space="0"/>
            </w:tcBorders>
            <w:vAlign w:val="bottom"/>
          </w:tcPr>
          <w:p>
            <w:pPr>
              <w:widowControl/>
              <w:spacing w:line="400" w:lineRule="exact"/>
              <w:jc w:val="center"/>
              <w:rPr>
                <w:rFonts w:ascii="宋体" w:hAnsi="宋体" w:eastAsia="宋体"/>
                <w:color w:val="000000"/>
                <w:szCs w:val="21"/>
              </w:rPr>
            </w:pPr>
            <w:r>
              <w:rPr>
                <w:rFonts w:hint="eastAsia" w:ascii="宋体" w:hAnsi="宋体" w:eastAsia="宋体"/>
                <w:color w:val="000000"/>
                <w:szCs w:val="21"/>
              </w:rPr>
              <w:t>0.14</w:t>
            </w:r>
          </w:p>
        </w:tc>
        <w:tc>
          <w:tcPr>
            <w:tcW w:w="708" w:type="dxa"/>
            <w:vMerge w:val="restart"/>
            <w:tcBorders>
              <w:top w:val="single" w:color="000000" w:themeColor="text1" w:sz="4" w:space="0"/>
            </w:tcBorders>
            <w:vAlign w:val="center"/>
          </w:tcPr>
          <w:p>
            <w:pPr>
              <w:widowControl/>
              <w:spacing w:line="400" w:lineRule="exact"/>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3.05</w:t>
            </w:r>
          </w:p>
        </w:tc>
        <w:tc>
          <w:tcPr>
            <w:tcW w:w="709" w:type="dxa"/>
            <w:vMerge w:val="restart"/>
            <w:tcBorders>
              <w:top w:val="single" w:color="000000" w:themeColor="text1" w:sz="4" w:space="0"/>
            </w:tcBorders>
            <w:vAlign w:val="center"/>
          </w:tcPr>
          <w:p>
            <w:pPr>
              <w:widowControl/>
              <w:spacing w:line="400" w:lineRule="exact"/>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0.027</w:t>
            </w:r>
          </w:p>
        </w:tc>
        <w:tc>
          <w:tcPr>
            <w:tcW w:w="567" w:type="dxa"/>
            <w:vMerge w:val="restart"/>
            <w:tcBorders>
              <w:top w:val="single" w:color="000000" w:themeColor="text1" w:sz="4" w:space="0"/>
            </w:tcBorders>
            <w:vAlign w:val="center"/>
          </w:tcPr>
          <w:p>
            <w:pPr>
              <w:widowControl/>
              <w:spacing w:line="400" w:lineRule="exact"/>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0.58</w:t>
            </w:r>
          </w:p>
        </w:tc>
        <w:tc>
          <w:tcPr>
            <w:tcW w:w="851" w:type="dxa"/>
            <w:vMerge w:val="restart"/>
            <w:tcBorders>
              <w:top w:val="single" w:color="000000" w:themeColor="text1" w:sz="4" w:space="0"/>
            </w:tcBorders>
            <w:vAlign w:val="center"/>
          </w:tcPr>
          <w:p>
            <w:pPr>
              <w:widowControl/>
              <w:spacing w:line="400" w:lineRule="exact"/>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0.046</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0" w:hRule="atLeast"/>
          <w:jc w:val="center"/>
        </w:trPr>
        <w:tc>
          <w:tcPr>
            <w:tcW w:w="1555" w:type="dxa"/>
            <w:vAlign w:val="center"/>
          </w:tcPr>
          <w:p>
            <w:pPr>
              <w:widowControl/>
              <w:spacing w:line="400" w:lineRule="exact"/>
              <w:jc w:val="center"/>
              <w:textAlignment w:val="center"/>
              <w:rPr>
                <w:rFonts w:ascii="Times New Roman" w:hAnsi="Times New Roman" w:eastAsia="宋体" w:cs="Times New Roman"/>
                <w:i/>
                <w:iCs/>
                <w:color w:val="000000"/>
                <w:szCs w:val="21"/>
              </w:rPr>
            </w:pPr>
            <w:r>
              <w:rPr>
                <w:rFonts w:ascii="Times New Roman" w:hAnsi="Times New Roman" w:eastAsia="宋体" w:cs="Times New Roman"/>
                <w:i/>
                <w:iCs/>
                <w:color w:val="000000"/>
                <w:kern w:val="0"/>
                <w:szCs w:val="21"/>
              </w:rPr>
              <w:t>C</w:t>
            </w:r>
            <w:r>
              <w:rPr>
                <w:rFonts w:ascii="Times New Roman" w:hAnsi="Times New Roman" w:eastAsia="宋体" w:cs="Times New Roman"/>
                <w:i/>
                <w:iCs/>
                <w:color w:val="000000"/>
                <w:kern w:val="0"/>
                <w:szCs w:val="21"/>
                <w:vertAlign w:val="subscript"/>
              </w:rPr>
              <w:t>12</w:t>
            </w:r>
          </w:p>
        </w:tc>
        <w:tc>
          <w:tcPr>
            <w:tcW w:w="708" w:type="dxa"/>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3</w:t>
            </w:r>
          </w:p>
        </w:tc>
        <w:tc>
          <w:tcPr>
            <w:tcW w:w="709" w:type="dxa"/>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1</w:t>
            </w:r>
          </w:p>
        </w:tc>
        <w:tc>
          <w:tcPr>
            <w:tcW w:w="567" w:type="dxa"/>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2</w:t>
            </w:r>
          </w:p>
        </w:tc>
        <w:tc>
          <w:tcPr>
            <w:tcW w:w="851" w:type="dxa"/>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0.53</w:t>
            </w:r>
          </w:p>
        </w:tc>
        <w:tc>
          <w:tcPr>
            <w:tcW w:w="708" w:type="dxa"/>
            <w:vMerge w:val="continue"/>
            <w:vAlign w:val="center"/>
          </w:tcPr>
          <w:p>
            <w:pPr>
              <w:widowControl/>
              <w:spacing w:line="400" w:lineRule="exact"/>
              <w:jc w:val="center"/>
              <w:textAlignment w:val="center"/>
              <w:rPr>
                <w:rFonts w:ascii="宋体" w:hAnsi="宋体" w:eastAsia="宋体" w:cs="宋体"/>
                <w:color w:val="000000"/>
                <w:kern w:val="0"/>
                <w:szCs w:val="21"/>
              </w:rPr>
            </w:pPr>
          </w:p>
        </w:tc>
        <w:tc>
          <w:tcPr>
            <w:tcW w:w="709" w:type="dxa"/>
            <w:vMerge w:val="continue"/>
            <w:vAlign w:val="center"/>
          </w:tcPr>
          <w:p>
            <w:pPr>
              <w:widowControl/>
              <w:spacing w:line="400" w:lineRule="exact"/>
              <w:jc w:val="center"/>
              <w:textAlignment w:val="center"/>
              <w:rPr>
                <w:rFonts w:ascii="宋体" w:hAnsi="宋体" w:eastAsia="宋体" w:cs="宋体"/>
                <w:color w:val="000000"/>
                <w:kern w:val="0"/>
                <w:szCs w:val="21"/>
              </w:rPr>
            </w:pPr>
          </w:p>
        </w:tc>
        <w:tc>
          <w:tcPr>
            <w:tcW w:w="567" w:type="dxa"/>
            <w:vMerge w:val="continue"/>
            <w:vAlign w:val="center"/>
          </w:tcPr>
          <w:p>
            <w:pPr>
              <w:widowControl/>
              <w:spacing w:line="400" w:lineRule="exact"/>
              <w:jc w:val="center"/>
              <w:textAlignment w:val="center"/>
              <w:rPr>
                <w:rFonts w:ascii="宋体" w:hAnsi="宋体" w:eastAsia="宋体" w:cs="宋体"/>
                <w:color w:val="000000"/>
                <w:kern w:val="0"/>
                <w:szCs w:val="21"/>
              </w:rPr>
            </w:pPr>
          </w:p>
        </w:tc>
        <w:tc>
          <w:tcPr>
            <w:tcW w:w="851" w:type="dxa"/>
            <w:vMerge w:val="continue"/>
            <w:vAlign w:val="center"/>
          </w:tcPr>
          <w:p>
            <w:pPr>
              <w:widowControl/>
              <w:spacing w:line="400" w:lineRule="exact"/>
              <w:jc w:val="center"/>
              <w:textAlignment w:val="center"/>
              <w:rPr>
                <w:rFonts w:ascii="宋体" w:hAnsi="宋体" w:eastAsia="宋体" w:cs="宋体"/>
                <w:color w:val="000000"/>
                <w:kern w:val="0"/>
                <w:szCs w:val="21"/>
              </w:rPr>
            </w:pP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1" w:hRule="atLeast"/>
          <w:jc w:val="center"/>
        </w:trPr>
        <w:tc>
          <w:tcPr>
            <w:tcW w:w="1555" w:type="dxa"/>
            <w:vAlign w:val="center"/>
          </w:tcPr>
          <w:p>
            <w:pPr>
              <w:widowControl/>
              <w:spacing w:line="400" w:lineRule="exact"/>
              <w:jc w:val="center"/>
              <w:textAlignment w:val="center"/>
              <w:rPr>
                <w:rFonts w:ascii="Times New Roman" w:hAnsi="Times New Roman" w:eastAsia="宋体" w:cs="Times New Roman"/>
                <w:i/>
                <w:iCs/>
                <w:color w:val="000000"/>
                <w:szCs w:val="21"/>
              </w:rPr>
            </w:pPr>
            <w:r>
              <w:rPr>
                <w:rFonts w:ascii="Times New Roman" w:hAnsi="Times New Roman" w:eastAsia="宋体" w:cs="Times New Roman"/>
                <w:i/>
                <w:iCs/>
                <w:color w:val="000000"/>
                <w:kern w:val="0"/>
                <w:szCs w:val="21"/>
              </w:rPr>
              <w:t>C</w:t>
            </w:r>
            <w:r>
              <w:rPr>
                <w:rFonts w:ascii="Times New Roman" w:hAnsi="Times New Roman" w:eastAsia="宋体" w:cs="Times New Roman"/>
                <w:i/>
                <w:iCs/>
                <w:color w:val="000000"/>
                <w:kern w:val="0"/>
                <w:szCs w:val="21"/>
                <w:vertAlign w:val="subscript"/>
              </w:rPr>
              <w:t>13</w:t>
            </w:r>
          </w:p>
        </w:tc>
        <w:tc>
          <w:tcPr>
            <w:tcW w:w="708" w:type="dxa"/>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3</w:t>
            </w:r>
          </w:p>
        </w:tc>
        <w:tc>
          <w:tcPr>
            <w:tcW w:w="709" w:type="dxa"/>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1/2</w:t>
            </w:r>
          </w:p>
        </w:tc>
        <w:tc>
          <w:tcPr>
            <w:tcW w:w="567" w:type="dxa"/>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1</w:t>
            </w:r>
          </w:p>
        </w:tc>
        <w:tc>
          <w:tcPr>
            <w:tcW w:w="851" w:type="dxa"/>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0.33</w:t>
            </w:r>
          </w:p>
        </w:tc>
        <w:tc>
          <w:tcPr>
            <w:tcW w:w="708" w:type="dxa"/>
            <w:vMerge w:val="continue"/>
            <w:vAlign w:val="center"/>
          </w:tcPr>
          <w:p>
            <w:pPr>
              <w:widowControl/>
              <w:spacing w:line="400" w:lineRule="exact"/>
              <w:jc w:val="center"/>
              <w:textAlignment w:val="center"/>
              <w:rPr>
                <w:rFonts w:ascii="宋体" w:hAnsi="宋体" w:eastAsia="宋体" w:cs="宋体"/>
                <w:color w:val="000000"/>
                <w:kern w:val="0"/>
                <w:szCs w:val="21"/>
              </w:rPr>
            </w:pPr>
          </w:p>
        </w:tc>
        <w:tc>
          <w:tcPr>
            <w:tcW w:w="709" w:type="dxa"/>
            <w:vMerge w:val="continue"/>
            <w:vAlign w:val="center"/>
          </w:tcPr>
          <w:p>
            <w:pPr>
              <w:widowControl/>
              <w:spacing w:line="400" w:lineRule="exact"/>
              <w:jc w:val="center"/>
              <w:textAlignment w:val="center"/>
              <w:rPr>
                <w:rFonts w:ascii="宋体" w:hAnsi="宋体" w:eastAsia="宋体" w:cs="宋体"/>
                <w:color w:val="000000"/>
                <w:kern w:val="0"/>
                <w:szCs w:val="21"/>
              </w:rPr>
            </w:pPr>
          </w:p>
        </w:tc>
        <w:tc>
          <w:tcPr>
            <w:tcW w:w="567" w:type="dxa"/>
            <w:vMerge w:val="continue"/>
            <w:vAlign w:val="center"/>
          </w:tcPr>
          <w:p>
            <w:pPr>
              <w:widowControl/>
              <w:spacing w:line="400" w:lineRule="exact"/>
              <w:jc w:val="center"/>
              <w:textAlignment w:val="center"/>
              <w:rPr>
                <w:rFonts w:ascii="宋体" w:hAnsi="宋体" w:eastAsia="宋体" w:cs="宋体"/>
                <w:color w:val="000000"/>
                <w:kern w:val="0"/>
                <w:szCs w:val="21"/>
              </w:rPr>
            </w:pPr>
          </w:p>
        </w:tc>
        <w:tc>
          <w:tcPr>
            <w:tcW w:w="851" w:type="dxa"/>
            <w:vMerge w:val="continue"/>
            <w:vAlign w:val="center"/>
          </w:tcPr>
          <w:p>
            <w:pPr>
              <w:widowControl/>
              <w:spacing w:line="400" w:lineRule="exact"/>
              <w:jc w:val="center"/>
              <w:textAlignment w:val="center"/>
              <w:rPr>
                <w:rFonts w:ascii="宋体" w:hAnsi="宋体" w:eastAsia="宋体" w:cs="宋体"/>
                <w:color w:val="000000"/>
                <w:kern w:val="0"/>
                <w:szCs w:val="21"/>
              </w:rPr>
            </w:pPr>
          </w:p>
        </w:tc>
      </w:tr>
    </w:tbl>
    <w:p>
      <w:pPr>
        <w:spacing w:line="400" w:lineRule="exact"/>
      </w:pPr>
    </w:p>
    <w:p>
      <w:pPr>
        <w:spacing w:line="400" w:lineRule="exact"/>
        <w:jc w:val="center"/>
        <w:rPr>
          <w:rFonts w:ascii="宋体" w:hAnsi="宋体" w:eastAsia="宋体"/>
          <w:szCs w:val="21"/>
        </w:rPr>
      </w:pPr>
      <w:r>
        <w:rPr>
          <w:rFonts w:hint="eastAsia" w:ascii="宋体" w:hAnsi="宋体" w:eastAsia="宋体"/>
          <w:szCs w:val="21"/>
        </w:rPr>
        <w:t>表</w:t>
      </w:r>
      <w:r>
        <w:rPr>
          <w:rFonts w:ascii="宋体" w:hAnsi="宋体" w:eastAsia="宋体"/>
          <w:szCs w:val="21"/>
        </w:rPr>
        <w:t xml:space="preserve">6  </w:t>
      </w:r>
      <w:r>
        <w:rPr>
          <w:rFonts w:hint="eastAsia" w:ascii="宋体" w:hAnsi="宋体" w:eastAsia="宋体"/>
          <w:szCs w:val="21"/>
        </w:rPr>
        <w:t>准则层</w:t>
      </w:r>
      <w:r>
        <w:rPr>
          <w:rFonts w:ascii="Times New Roman" w:hAnsi="Times New Roman" w:eastAsia="宋体" w:cs="Times New Roman"/>
          <w:i/>
          <w:iCs/>
          <w:szCs w:val="21"/>
        </w:rPr>
        <w:t>B4</w:t>
      </w:r>
      <w:r>
        <w:rPr>
          <w:rFonts w:hint="eastAsia" w:ascii="宋体" w:hAnsi="宋体" w:eastAsia="宋体"/>
          <w:szCs w:val="21"/>
        </w:rPr>
        <w:t>各指标</w:t>
      </w:r>
      <w:r>
        <w:rPr>
          <w:rFonts w:ascii="宋体" w:hAnsi="宋体" w:eastAsia="宋体"/>
          <w:szCs w:val="21"/>
        </w:rPr>
        <w:t>判断矩阵</w:t>
      </w:r>
      <w:r>
        <w:rPr>
          <w:rFonts w:hint="eastAsia" w:ascii="宋体" w:hAnsi="宋体" w:eastAsia="宋体"/>
          <w:szCs w:val="21"/>
        </w:rPr>
        <w:t>及</w:t>
      </w:r>
      <w:r>
        <w:rPr>
          <w:rFonts w:ascii="宋体" w:hAnsi="宋体" w:eastAsia="宋体"/>
          <w:szCs w:val="21"/>
        </w:rPr>
        <w:t>一致性检验结果</w:t>
      </w:r>
    </w:p>
    <w:tbl>
      <w:tblPr>
        <w:tblStyle w:val="8"/>
        <w:tblW w:w="7225" w:type="dxa"/>
        <w:jc w:val="center"/>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555"/>
        <w:gridCol w:w="708"/>
        <w:gridCol w:w="709"/>
        <w:gridCol w:w="567"/>
        <w:gridCol w:w="851"/>
        <w:gridCol w:w="708"/>
        <w:gridCol w:w="709"/>
        <w:gridCol w:w="567"/>
        <w:gridCol w:w="851"/>
      </w:tblGrid>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1" w:hRule="atLeast"/>
          <w:jc w:val="center"/>
        </w:trPr>
        <w:tc>
          <w:tcPr>
            <w:tcW w:w="1555" w:type="dxa"/>
            <w:tcBorders>
              <w:top w:val="single" w:color="000000" w:themeColor="text1" w:sz="4" w:space="0"/>
              <w:bottom w:val="single" w:color="000000" w:themeColor="text1" w:sz="4" w:space="0"/>
            </w:tcBorders>
            <w:vAlign w:val="center"/>
          </w:tcPr>
          <w:p>
            <w:pPr>
              <w:widowControl/>
              <w:spacing w:line="40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宣传报道的及时性</w:t>
            </w:r>
            <w:r>
              <w:rPr>
                <w:rFonts w:ascii="Times New Roman" w:hAnsi="Times New Roman" w:eastAsia="宋体" w:cs="Times New Roman"/>
                <w:i/>
                <w:iCs/>
                <w:color w:val="000000"/>
                <w:kern w:val="0"/>
                <w:szCs w:val="21"/>
              </w:rPr>
              <w:t>B</w:t>
            </w:r>
            <w:r>
              <w:rPr>
                <w:rFonts w:ascii="Times New Roman" w:hAnsi="Times New Roman" w:eastAsia="宋体" w:cs="Times New Roman"/>
                <w:i/>
                <w:iCs/>
                <w:color w:val="000000"/>
                <w:kern w:val="0"/>
                <w:szCs w:val="21"/>
                <w:vertAlign w:val="subscript"/>
              </w:rPr>
              <w:t>4</w:t>
            </w:r>
          </w:p>
        </w:tc>
        <w:tc>
          <w:tcPr>
            <w:tcW w:w="708" w:type="dxa"/>
            <w:tcBorders>
              <w:top w:val="single" w:color="000000" w:themeColor="text1" w:sz="4" w:space="0"/>
              <w:bottom w:val="single" w:color="000000" w:themeColor="text1" w:sz="4" w:space="0"/>
            </w:tcBorders>
            <w:vAlign w:val="center"/>
          </w:tcPr>
          <w:p>
            <w:pPr>
              <w:widowControl/>
              <w:spacing w:line="400" w:lineRule="exact"/>
              <w:jc w:val="center"/>
              <w:textAlignment w:val="center"/>
              <w:rPr>
                <w:rFonts w:ascii="Times New Roman" w:hAnsi="Times New Roman" w:eastAsia="宋体" w:cs="Times New Roman"/>
                <w:i/>
                <w:iCs/>
                <w:color w:val="000000"/>
                <w:szCs w:val="21"/>
              </w:rPr>
            </w:pPr>
            <w:r>
              <w:rPr>
                <w:rFonts w:ascii="Times New Roman" w:hAnsi="Times New Roman" w:eastAsia="宋体" w:cs="Times New Roman"/>
                <w:i/>
                <w:iCs/>
                <w:color w:val="000000"/>
                <w:kern w:val="0"/>
                <w:szCs w:val="21"/>
              </w:rPr>
              <w:t>C</w:t>
            </w:r>
            <w:r>
              <w:rPr>
                <w:rFonts w:ascii="Times New Roman" w:hAnsi="Times New Roman" w:eastAsia="宋体" w:cs="Times New Roman"/>
                <w:i/>
                <w:iCs/>
                <w:color w:val="000000"/>
                <w:kern w:val="0"/>
                <w:szCs w:val="21"/>
                <w:vertAlign w:val="subscript"/>
              </w:rPr>
              <w:t>14</w:t>
            </w:r>
          </w:p>
        </w:tc>
        <w:tc>
          <w:tcPr>
            <w:tcW w:w="709" w:type="dxa"/>
            <w:tcBorders>
              <w:top w:val="single" w:color="000000" w:themeColor="text1" w:sz="4" w:space="0"/>
              <w:bottom w:val="single" w:color="000000" w:themeColor="text1" w:sz="4" w:space="0"/>
            </w:tcBorders>
            <w:vAlign w:val="center"/>
          </w:tcPr>
          <w:p>
            <w:pPr>
              <w:widowControl/>
              <w:spacing w:line="400" w:lineRule="exact"/>
              <w:jc w:val="center"/>
              <w:textAlignment w:val="center"/>
              <w:rPr>
                <w:rFonts w:ascii="Times New Roman" w:hAnsi="Times New Roman" w:eastAsia="宋体" w:cs="Times New Roman"/>
                <w:i/>
                <w:iCs/>
                <w:color w:val="000000"/>
                <w:szCs w:val="21"/>
              </w:rPr>
            </w:pPr>
            <w:r>
              <w:rPr>
                <w:rFonts w:ascii="Times New Roman" w:hAnsi="Times New Roman" w:eastAsia="宋体" w:cs="Times New Roman"/>
                <w:i/>
                <w:iCs/>
                <w:color w:val="000000"/>
                <w:kern w:val="0"/>
                <w:szCs w:val="21"/>
              </w:rPr>
              <w:t>C</w:t>
            </w:r>
            <w:r>
              <w:rPr>
                <w:rFonts w:ascii="Times New Roman" w:hAnsi="Times New Roman" w:eastAsia="宋体" w:cs="Times New Roman"/>
                <w:i/>
                <w:iCs/>
                <w:color w:val="000000"/>
                <w:kern w:val="0"/>
                <w:szCs w:val="21"/>
                <w:vertAlign w:val="subscript"/>
              </w:rPr>
              <w:t>15</w:t>
            </w:r>
          </w:p>
        </w:tc>
        <w:tc>
          <w:tcPr>
            <w:tcW w:w="567" w:type="dxa"/>
            <w:tcBorders>
              <w:top w:val="single" w:color="000000" w:themeColor="text1" w:sz="4" w:space="0"/>
              <w:bottom w:val="single" w:color="000000" w:themeColor="text1" w:sz="4" w:space="0"/>
            </w:tcBorders>
            <w:vAlign w:val="center"/>
          </w:tcPr>
          <w:p>
            <w:pPr>
              <w:widowControl/>
              <w:spacing w:line="400" w:lineRule="exact"/>
              <w:jc w:val="center"/>
              <w:textAlignment w:val="center"/>
              <w:rPr>
                <w:rFonts w:ascii="Times New Roman" w:hAnsi="Times New Roman" w:eastAsia="宋体" w:cs="Times New Roman"/>
                <w:i/>
                <w:iCs/>
                <w:color w:val="000000"/>
                <w:szCs w:val="21"/>
              </w:rPr>
            </w:pPr>
            <w:r>
              <w:rPr>
                <w:rFonts w:ascii="Times New Roman" w:hAnsi="Times New Roman" w:eastAsia="宋体" w:cs="Times New Roman"/>
                <w:i/>
                <w:iCs/>
                <w:color w:val="000000"/>
                <w:kern w:val="0"/>
                <w:szCs w:val="21"/>
              </w:rPr>
              <w:t>C</w:t>
            </w:r>
            <w:r>
              <w:rPr>
                <w:rFonts w:ascii="Times New Roman" w:hAnsi="Times New Roman" w:eastAsia="宋体" w:cs="Times New Roman"/>
                <w:i/>
                <w:iCs/>
                <w:color w:val="000000"/>
                <w:kern w:val="0"/>
                <w:szCs w:val="21"/>
                <w:vertAlign w:val="subscript"/>
              </w:rPr>
              <w:t>16</w:t>
            </w:r>
          </w:p>
        </w:tc>
        <w:tc>
          <w:tcPr>
            <w:tcW w:w="851" w:type="dxa"/>
            <w:tcBorders>
              <w:top w:val="single" w:color="000000" w:themeColor="text1" w:sz="4" w:space="0"/>
              <w:bottom w:val="single" w:color="000000" w:themeColor="text1" w:sz="4" w:space="0"/>
            </w:tcBorders>
            <w:vAlign w:val="center"/>
          </w:tcPr>
          <w:p>
            <w:pPr>
              <w:spacing w:line="400" w:lineRule="exact"/>
              <w:jc w:val="center"/>
              <w:textAlignment w:val="center"/>
              <w:rPr>
                <w:rFonts w:ascii="Times New Roman" w:hAnsi="Times New Roman" w:eastAsia="宋体" w:cs="Times New Roman"/>
                <w:i/>
                <w:iCs/>
                <w:color w:val="000000"/>
                <w:kern w:val="0"/>
                <w:szCs w:val="21"/>
              </w:rPr>
            </w:pPr>
            <w:r>
              <w:rPr>
                <w:rFonts w:ascii="Times New Roman" w:hAnsi="Times New Roman" w:eastAsia="宋体" w:cs="Times New Roman"/>
                <w:i/>
                <w:iCs/>
                <w:color w:val="000000"/>
                <w:kern w:val="0"/>
                <w:szCs w:val="21"/>
              </w:rPr>
              <w:t>W</w:t>
            </w:r>
          </w:p>
        </w:tc>
        <w:tc>
          <w:tcPr>
            <w:tcW w:w="708" w:type="dxa"/>
            <w:tcBorders>
              <w:top w:val="single" w:color="000000" w:themeColor="text1" w:sz="4" w:space="0"/>
              <w:bottom w:val="single" w:color="000000" w:themeColor="text1" w:sz="4" w:space="0"/>
            </w:tcBorders>
            <w:vAlign w:val="center"/>
          </w:tcPr>
          <w:p>
            <w:pPr>
              <w:widowControl/>
              <w:spacing w:line="400" w:lineRule="exact"/>
              <w:jc w:val="center"/>
              <w:textAlignment w:val="center"/>
              <w:rPr>
                <w:rFonts w:ascii="Times New Roman" w:hAnsi="Times New Roman" w:eastAsia="宋体" w:cs="Times New Roman"/>
                <w:i/>
                <w:iCs/>
                <w:color w:val="000000"/>
                <w:kern w:val="0"/>
                <w:szCs w:val="21"/>
              </w:rPr>
            </w:pPr>
            <w:r>
              <w:rPr>
                <w:rFonts w:ascii="Times New Roman" w:hAnsi="Times New Roman" w:eastAsia="宋体" w:cs="Times New Roman"/>
                <w:i/>
                <w:iCs/>
                <w:color w:val="000000"/>
                <w:kern w:val="0"/>
                <w:position w:val="-6"/>
                <w:szCs w:val="21"/>
              </w:rPr>
              <w:object>
                <v:shape id="_x0000_i1029" o:spt="75" type="#_x0000_t75" style="height:12pt;width:24pt;" o:ole="t" filled="f" o:preferrelative="t" stroked="f" coordsize="21600,21600">
                  <v:path/>
                  <v:fill on="f" focussize="0,0"/>
                  <v:stroke on="f" joinstyle="miter"/>
                  <v:imagedata r:id="rId6" o:title=""/>
                  <o:lock v:ext="edit" aspectratio="t"/>
                  <w10:wrap type="none"/>
                  <w10:anchorlock/>
                </v:shape>
                <o:OLEObject Type="Embed" ProgID="Equation.3" ShapeID="_x0000_i1029" DrawAspect="Content" ObjectID="_1468075729" r:id="rId10">
                  <o:LockedField>false</o:LockedField>
                </o:OLEObject>
              </w:object>
            </w:r>
          </w:p>
        </w:tc>
        <w:tc>
          <w:tcPr>
            <w:tcW w:w="709" w:type="dxa"/>
            <w:tcBorders>
              <w:top w:val="single" w:color="000000" w:themeColor="text1" w:sz="4" w:space="0"/>
              <w:bottom w:val="single" w:color="000000" w:themeColor="text1" w:sz="4" w:space="0"/>
            </w:tcBorders>
            <w:vAlign w:val="center"/>
          </w:tcPr>
          <w:p>
            <w:pPr>
              <w:widowControl/>
              <w:spacing w:line="400" w:lineRule="exact"/>
              <w:jc w:val="center"/>
              <w:textAlignment w:val="center"/>
              <w:rPr>
                <w:rFonts w:ascii="Times New Roman" w:hAnsi="Times New Roman" w:eastAsia="宋体" w:cs="Times New Roman"/>
                <w:i/>
                <w:iCs/>
                <w:color w:val="000000"/>
                <w:kern w:val="0"/>
                <w:szCs w:val="21"/>
              </w:rPr>
            </w:pPr>
            <w:r>
              <w:rPr>
                <w:rFonts w:ascii="Times New Roman" w:hAnsi="Times New Roman" w:eastAsia="宋体" w:cs="Times New Roman"/>
                <w:i/>
                <w:iCs/>
                <w:color w:val="000000"/>
                <w:kern w:val="0"/>
                <w:szCs w:val="21"/>
              </w:rPr>
              <w:t>CI</w:t>
            </w:r>
          </w:p>
        </w:tc>
        <w:tc>
          <w:tcPr>
            <w:tcW w:w="567" w:type="dxa"/>
            <w:tcBorders>
              <w:top w:val="single" w:color="000000" w:themeColor="text1" w:sz="4" w:space="0"/>
              <w:bottom w:val="single" w:color="000000" w:themeColor="text1" w:sz="4" w:space="0"/>
            </w:tcBorders>
            <w:vAlign w:val="center"/>
          </w:tcPr>
          <w:p>
            <w:pPr>
              <w:widowControl/>
              <w:spacing w:line="400" w:lineRule="exact"/>
              <w:jc w:val="center"/>
              <w:textAlignment w:val="center"/>
              <w:rPr>
                <w:rFonts w:ascii="Times New Roman" w:hAnsi="Times New Roman" w:eastAsia="宋体" w:cs="Times New Roman"/>
                <w:i/>
                <w:iCs/>
                <w:color w:val="000000"/>
                <w:kern w:val="0"/>
                <w:szCs w:val="21"/>
              </w:rPr>
            </w:pPr>
            <w:r>
              <w:rPr>
                <w:rFonts w:ascii="Times New Roman" w:hAnsi="Times New Roman" w:eastAsia="宋体" w:cs="Times New Roman"/>
                <w:i/>
                <w:iCs/>
                <w:color w:val="000000"/>
                <w:kern w:val="0"/>
                <w:szCs w:val="21"/>
              </w:rPr>
              <w:t>RI</w:t>
            </w:r>
          </w:p>
        </w:tc>
        <w:tc>
          <w:tcPr>
            <w:tcW w:w="851" w:type="dxa"/>
            <w:tcBorders>
              <w:top w:val="single" w:color="000000" w:themeColor="text1" w:sz="4" w:space="0"/>
              <w:bottom w:val="single" w:color="000000" w:themeColor="text1" w:sz="4" w:space="0"/>
            </w:tcBorders>
            <w:vAlign w:val="center"/>
          </w:tcPr>
          <w:p>
            <w:pPr>
              <w:widowControl/>
              <w:spacing w:line="400" w:lineRule="exact"/>
              <w:jc w:val="center"/>
              <w:textAlignment w:val="center"/>
              <w:rPr>
                <w:rFonts w:ascii="Times New Roman" w:hAnsi="Times New Roman" w:eastAsia="宋体" w:cs="Times New Roman"/>
                <w:i/>
                <w:iCs/>
                <w:color w:val="000000"/>
                <w:kern w:val="0"/>
                <w:szCs w:val="21"/>
              </w:rPr>
            </w:pPr>
            <w:r>
              <w:rPr>
                <w:rFonts w:ascii="Times New Roman" w:hAnsi="Times New Roman" w:eastAsia="宋体" w:cs="Times New Roman"/>
                <w:i/>
                <w:iCs/>
                <w:color w:val="000000"/>
                <w:kern w:val="0"/>
                <w:szCs w:val="21"/>
              </w:rPr>
              <w:t>CR</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0" w:hRule="atLeast"/>
          <w:jc w:val="center"/>
        </w:trPr>
        <w:tc>
          <w:tcPr>
            <w:tcW w:w="1555" w:type="dxa"/>
            <w:tcBorders>
              <w:top w:val="single" w:color="000000" w:themeColor="text1" w:sz="4" w:space="0"/>
            </w:tcBorders>
            <w:vAlign w:val="center"/>
          </w:tcPr>
          <w:p>
            <w:pPr>
              <w:widowControl/>
              <w:spacing w:line="400" w:lineRule="exact"/>
              <w:jc w:val="center"/>
              <w:textAlignment w:val="center"/>
              <w:rPr>
                <w:rFonts w:ascii="Times New Roman" w:hAnsi="Times New Roman" w:eastAsia="宋体" w:cs="Times New Roman"/>
                <w:i/>
                <w:iCs/>
                <w:color w:val="000000"/>
                <w:szCs w:val="21"/>
              </w:rPr>
            </w:pPr>
            <w:r>
              <w:rPr>
                <w:rFonts w:ascii="Times New Roman" w:hAnsi="Times New Roman" w:eastAsia="宋体" w:cs="Times New Roman"/>
                <w:i/>
                <w:iCs/>
                <w:color w:val="000000"/>
                <w:kern w:val="0"/>
                <w:szCs w:val="21"/>
              </w:rPr>
              <w:t>C</w:t>
            </w:r>
            <w:r>
              <w:rPr>
                <w:rFonts w:ascii="Times New Roman" w:hAnsi="Times New Roman" w:eastAsia="宋体" w:cs="Times New Roman"/>
                <w:i/>
                <w:iCs/>
                <w:color w:val="000000"/>
                <w:kern w:val="0"/>
                <w:szCs w:val="21"/>
                <w:vertAlign w:val="subscript"/>
              </w:rPr>
              <w:t>14</w:t>
            </w:r>
          </w:p>
        </w:tc>
        <w:tc>
          <w:tcPr>
            <w:tcW w:w="708" w:type="dxa"/>
            <w:tcBorders>
              <w:top w:val="single" w:color="000000" w:themeColor="text1" w:sz="4" w:space="0"/>
            </w:tcBorders>
            <w:vAlign w:val="bottom"/>
          </w:tcPr>
          <w:p>
            <w:pPr>
              <w:widowControl/>
              <w:spacing w:line="400" w:lineRule="exact"/>
              <w:jc w:val="center"/>
              <w:rPr>
                <w:rFonts w:ascii="宋体" w:hAnsi="宋体" w:eastAsia="宋体"/>
                <w:color w:val="000000"/>
                <w:szCs w:val="21"/>
              </w:rPr>
            </w:pPr>
            <w:r>
              <w:rPr>
                <w:rFonts w:hint="eastAsia" w:ascii="宋体" w:hAnsi="宋体" w:eastAsia="宋体"/>
                <w:color w:val="000000"/>
                <w:szCs w:val="21"/>
              </w:rPr>
              <w:t>1</w:t>
            </w:r>
          </w:p>
        </w:tc>
        <w:tc>
          <w:tcPr>
            <w:tcW w:w="709" w:type="dxa"/>
            <w:tcBorders>
              <w:top w:val="single" w:color="000000" w:themeColor="text1" w:sz="4" w:space="0"/>
            </w:tcBorders>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2</w:t>
            </w:r>
          </w:p>
        </w:tc>
        <w:tc>
          <w:tcPr>
            <w:tcW w:w="567" w:type="dxa"/>
            <w:tcBorders>
              <w:top w:val="single" w:color="000000" w:themeColor="text1" w:sz="4" w:space="0"/>
            </w:tcBorders>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3</w:t>
            </w:r>
          </w:p>
        </w:tc>
        <w:tc>
          <w:tcPr>
            <w:tcW w:w="851" w:type="dxa"/>
            <w:tcBorders>
              <w:top w:val="single" w:color="000000" w:themeColor="text1" w:sz="4" w:space="0"/>
            </w:tcBorders>
            <w:vAlign w:val="bottom"/>
          </w:tcPr>
          <w:p>
            <w:pPr>
              <w:widowControl/>
              <w:spacing w:line="400" w:lineRule="exact"/>
              <w:jc w:val="center"/>
              <w:rPr>
                <w:rFonts w:ascii="宋体" w:hAnsi="宋体" w:eastAsia="宋体"/>
                <w:color w:val="000000"/>
                <w:szCs w:val="21"/>
              </w:rPr>
            </w:pPr>
            <w:r>
              <w:rPr>
                <w:rFonts w:hint="eastAsia" w:ascii="宋体" w:hAnsi="宋体" w:eastAsia="宋体"/>
                <w:color w:val="000000"/>
                <w:szCs w:val="21"/>
              </w:rPr>
              <w:t>0.53</w:t>
            </w:r>
          </w:p>
        </w:tc>
        <w:tc>
          <w:tcPr>
            <w:tcW w:w="708" w:type="dxa"/>
            <w:vMerge w:val="restart"/>
            <w:tcBorders>
              <w:top w:val="single" w:color="000000" w:themeColor="text1" w:sz="4" w:space="0"/>
            </w:tcBorders>
            <w:vAlign w:val="center"/>
          </w:tcPr>
          <w:p>
            <w:pPr>
              <w:widowControl/>
              <w:spacing w:line="400" w:lineRule="exact"/>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3.05</w:t>
            </w:r>
          </w:p>
        </w:tc>
        <w:tc>
          <w:tcPr>
            <w:tcW w:w="709" w:type="dxa"/>
            <w:vMerge w:val="restart"/>
            <w:tcBorders>
              <w:top w:val="single" w:color="000000" w:themeColor="text1" w:sz="4" w:space="0"/>
            </w:tcBorders>
            <w:vAlign w:val="center"/>
          </w:tcPr>
          <w:p>
            <w:pPr>
              <w:widowControl/>
              <w:spacing w:line="400" w:lineRule="exact"/>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0.027</w:t>
            </w:r>
          </w:p>
        </w:tc>
        <w:tc>
          <w:tcPr>
            <w:tcW w:w="567" w:type="dxa"/>
            <w:vMerge w:val="restart"/>
            <w:tcBorders>
              <w:top w:val="single" w:color="000000" w:themeColor="text1" w:sz="4" w:space="0"/>
            </w:tcBorders>
            <w:vAlign w:val="center"/>
          </w:tcPr>
          <w:p>
            <w:pPr>
              <w:widowControl/>
              <w:spacing w:line="400" w:lineRule="exact"/>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0.58</w:t>
            </w:r>
          </w:p>
        </w:tc>
        <w:tc>
          <w:tcPr>
            <w:tcW w:w="851" w:type="dxa"/>
            <w:vMerge w:val="restart"/>
            <w:tcBorders>
              <w:top w:val="single" w:color="000000" w:themeColor="text1" w:sz="4" w:space="0"/>
            </w:tcBorders>
            <w:vAlign w:val="center"/>
          </w:tcPr>
          <w:p>
            <w:pPr>
              <w:widowControl/>
              <w:spacing w:line="400" w:lineRule="exact"/>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0.046</w:t>
            </w: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0" w:hRule="atLeast"/>
          <w:jc w:val="center"/>
        </w:trPr>
        <w:tc>
          <w:tcPr>
            <w:tcW w:w="1555" w:type="dxa"/>
            <w:vAlign w:val="center"/>
          </w:tcPr>
          <w:p>
            <w:pPr>
              <w:widowControl/>
              <w:spacing w:line="400" w:lineRule="exact"/>
              <w:jc w:val="center"/>
              <w:textAlignment w:val="center"/>
              <w:rPr>
                <w:rFonts w:ascii="Times New Roman" w:hAnsi="Times New Roman" w:eastAsia="宋体" w:cs="Times New Roman"/>
                <w:i/>
                <w:iCs/>
                <w:color w:val="000000"/>
                <w:szCs w:val="21"/>
              </w:rPr>
            </w:pPr>
            <w:r>
              <w:rPr>
                <w:rFonts w:ascii="Times New Roman" w:hAnsi="Times New Roman" w:eastAsia="宋体" w:cs="Times New Roman"/>
                <w:i/>
                <w:iCs/>
                <w:color w:val="000000"/>
                <w:kern w:val="0"/>
                <w:szCs w:val="21"/>
              </w:rPr>
              <w:t>C</w:t>
            </w:r>
            <w:r>
              <w:rPr>
                <w:rFonts w:ascii="Times New Roman" w:hAnsi="Times New Roman" w:eastAsia="宋体" w:cs="Times New Roman"/>
                <w:i/>
                <w:iCs/>
                <w:color w:val="000000"/>
                <w:kern w:val="0"/>
                <w:szCs w:val="21"/>
                <w:vertAlign w:val="subscript"/>
              </w:rPr>
              <w:t>15</w:t>
            </w:r>
          </w:p>
        </w:tc>
        <w:tc>
          <w:tcPr>
            <w:tcW w:w="708" w:type="dxa"/>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1/2</w:t>
            </w:r>
          </w:p>
        </w:tc>
        <w:tc>
          <w:tcPr>
            <w:tcW w:w="709" w:type="dxa"/>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1</w:t>
            </w:r>
          </w:p>
        </w:tc>
        <w:tc>
          <w:tcPr>
            <w:tcW w:w="567" w:type="dxa"/>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3</w:t>
            </w:r>
          </w:p>
        </w:tc>
        <w:tc>
          <w:tcPr>
            <w:tcW w:w="851" w:type="dxa"/>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0.33</w:t>
            </w:r>
          </w:p>
        </w:tc>
        <w:tc>
          <w:tcPr>
            <w:tcW w:w="708" w:type="dxa"/>
            <w:vMerge w:val="continue"/>
            <w:vAlign w:val="center"/>
          </w:tcPr>
          <w:p>
            <w:pPr>
              <w:widowControl/>
              <w:spacing w:line="400" w:lineRule="exact"/>
              <w:jc w:val="center"/>
              <w:textAlignment w:val="center"/>
              <w:rPr>
                <w:rFonts w:ascii="宋体" w:hAnsi="宋体" w:eastAsia="宋体" w:cs="宋体"/>
                <w:color w:val="000000"/>
                <w:kern w:val="0"/>
                <w:szCs w:val="21"/>
              </w:rPr>
            </w:pPr>
          </w:p>
        </w:tc>
        <w:tc>
          <w:tcPr>
            <w:tcW w:w="709" w:type="dxa"/>
            <w:vMerge w:val="continue"/>
            <w:vAlign w:val="center"/>
          </w:tcPr>
          <w:p>
            <w:pPr>
              <w:widowControl/>
              <w:spacing w:line="400" w:lineRule="exact"/>
              <w:jc w:val="center"/>
              <w:textAlignment w:val="center"/>
              <w:rPr>
                <w:rFonts w:ascii="宋体" w:hAnsi="宋体" w:eastAsia="宋体" w:cs="宋体"/>
                <w:color w:val="000000"/>
                <w:kern w:val="0"/>
                <w:szCs w:val="21"/>
              </w:rPr>
            </w:pPr>
          </w:p>
        </w:tc>
        <w:tc>
          <w:tcPr>
            <w:tcW w:w="567" w:type="dxa"/>
            <w:vMerge w:val="continue"/>
            <w:vAlign w:val="center"/>
          </w:tcPr>
          <w:p>
            <w:pPr>
              <w:widowControl/>
              <w:spacing w:line="400" w:lineRule="exact"/>
              <w:jc w:val="center"/>
              <w:textAlignment w:val="center"/>
              <w:rPr>
                <w:rFonts w:ascii="宋体" w:hAnsi="宋体" w:eastAsia="宋体" w:cs="宋体"/>
                <w:color w:val="000000"/>
                <w:kern w:val="0"/>
                <w:szCs w:val="21"/>
              </w:rPr>
            </w:pPr>
          </w:p>
        </w:tc>
        <w:tc>
          <w:tcPr>
            <w:tcW w:w="851" w:type="dxa"/>
            <w:vMerge w:val="continue"/>
            <w:vAlign w:val="center"/>
          </w:tcPr>
          <w:p>
            <w:pPr>
              <w:widowControl/>
              <w:spacing w:line="400" w:lineRule="exact"/>
              <w:jc w:val="center"/>
              <w:textAlignment w:val="center"/>
              <w:rPr>
                <w:rFonts w:ascii="宋体" w:hAnsi="宋体" w:eastAsia="宋体" w:cs="宋体"/>
                <w:color w:val="000000"/>
                <w:kern w:val="0"/>
                <w:szCs w:val="21"/>
              </w:rPr>
            </w:pPr>
          </w:p>
        </w:tc>
      </w:tr>
      <w:tr>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1" w:hRule="atLeast"/>
          <w:jc w:val="center"/>
        </w:trPr>
        <w:tc>
          <w:tcPr>
            <w:tcW w:w="1555" w:type="dxa"/>
            <w:vAlign w:val="center"/>
          </w:tcPr>
          <w:p>
            <w:pPr>
              <w:widowControl/>
              <w:spacing w:line="400" w:lineRule="exact"/>
              <w:jc w:val="center"/>
              <w:textAlignment w:val="center"/>
              <w:rPr>
                <w:rFonts w:ascii="Times New Roman" w:hAnsi="Times New Roman" w:eastAsia="宋体" w:cs="Times New Roman"/>
                <w:i/>
                <w:iCs/>
                <w:color w:val="000000"/>
                <w:szCs w:val="21"/>
              </w:rPr>
            </w:pPr>
            <w:r>
              <w:rPr>
                <w:rFonts w:ascii="Times New Roman" w:hAnsi="Times New Roman" w:eastAsia="宋体" w:cs="Times New Roman"/>
                <w:i/>
                <w:iCs/>
                <w:color w:val="000000"/>
                <w:kern w:val="0"/>
                <w:szCs w:val="21"/>
              </w:rPr>
              <w:t>C</w:t>
            </w:r>
            <w:r>
              <w:rPr>
                <w:rFonts w:ascii="Times New Roman" w:hAnsi="Times New Roman" w:eastAsia="宋体" w:cs="Times New Roman"/>
                <w:i/>
                <w:iCs/>
                <w:color w:val="000000"/>
                <w:kern w:val="0"/>
                <w:szCs w:val="21"/>
                <w:vertAlign w:val="subscript"/>
              </w:rPr>
              <w:t>16</w:t>
            </w:r>
          </w:p>
        </w:tc>
        <w:tc>
          <w:tcPr>
            <w:tcW w:w="708" w:type="dxa"/>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1/3</w:t>
            </w:r>
          </w:p>
        </w:tc>
        <w:tc>
          <w:tcPr>
            <w:tcW w:w="709" w:type="dxa"/>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1/3</w:t>
            </w:r>
          </w:p>
        </w:tc>
        <w:tc>
          <w:tcPr>
            <w:tcW w:w="567" w:type="dxa"/>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1</w:t>
            </w:r>
          </w:p>
        </w:tc>
        <w:tc>
          <w:tcPr>
            <w:tcW w:w="851" w:type="dxa"/>
            <w:vAlign w:val="bottom"/>
          </w:tcPr>
          <w:p>
            <w:pPr>
              <w:spacing w:line="400" w:lineRule="exact"/>
              <w:jc w:val="center"/>
              <w:rPr>
                <w:rFonts w:ascii="宋体" w:hAnsi="宋体" w:eastAsia="宋体"/>
                <w:color w:val="000000"/>
                <w:szCs w:val="21"/>
              </w:rPr>
            </w:pPr>
            <w:r>
              <w:rPr>
                <w:rFonts w:hint="eastAsia" w:ascii="宋体" w:hAnsi="宋体" w:eastAsia="宋体"/>
                <w:color w:val="000000"/>
                <w:szCs w:val="21"/>
              </w:rPr>
              <w:t>0.14</w:t>
            </w:r>
          </w:p>
        </w:tc>
        <w:tc>
          <w:tcPr>
            <w:tcW w:w="708" w:type="dxa"/>
            <w:vMerge w:val="continue"/>
            <w:vAlign w:val="center"/>
          </w:tcPr>
          <w:p>
            <w:pPr>
              <w:widowControl/>
              <w:spacing w:line="400" w:lineRule="exact"/>
              <w:jc w:val="center"/>
              <w:textAlignment w:val="center"/>
              <w:rPr>
                <w:rFonts w:ascii="宋体" w:hAnsi="宋体" w:eastAsia="宋体" w:cs="宋体"/>
                <w:color w:val="000000"/>
                <w:kern w:val="0"/>
                <w:szCs w:val="21"/>
              </w:rPr>
            </w:pPr>
          </w:p>
        </w:tc>
        <w:tc>
          <w:tcPr>
            <w:tcW w:w="709" w:type="dxa"/>
            <w:vMerge w:val="continue"/>
            <w:vAlign w:val="center"/>
          </w:tcPr>
          <w:p>
            <w:pPr>
              <w:widowControl/>
              <w:spacing w:line="400" w:lineRule="exact"/>
              <w:jc w:val="center"/>
              <w:textAlignment w:val="center"/>
              <w:rPr>
                <w:rFonts w:ascii="宋体" w:hAnsi="宋体" w:eastAsia="宋体" w:cs="宋体"/>
                <w:color w:val="000000"/>
                <w:kern w:val="0"/>
                <w:szCs w:val="21"/>
              </w:rPr>
            </w:pPr>
          </w:p>
        </w:tc>
        <w:tc>
          <w:tcPr>
            <w:tcW w:w="567" w:type="dxa"/>
            <w:vMerge w:val="continue"/>
            <w:vAlign w:val="center"/>
          </w:tcPr>
          <w:p>
            <w:pPr>
              <w:widowControl/>
              <w:spacing w:line="400" w:lineRule="exact"/>
              <w:jc w:val="center"/>
              <w:textAlignment w:val="center"/>
              <w:rPr>
                <w:rFonts w:ascii="宋体" w:hAnsi="宋体" w:eastAsia="宋体" w:cs="宋体"/>
                <w:color w:val="000000"/>
                <w:kern w:val="0"/>
                <w:szCs w:val="21"/>
              </w:rPr>
            </w:pPr>
          </w:p>
        </w:tc>
        <w:tc>
          <w:tcPr>
            <w:tcW w:w="851" w:type="dxa"/>
            <w:vMerge w:val="continue"/>
            <w:vAlign w:val="center"/>
          </w:tcPr>
          <w:p>
            <w:pPr>
              <w:widowControl/>
              <w:spacing w:line="400" w:lineRule="exact"/>
              <w:jc w:val="center"/>
              <w:textAlignment w:val="center"/>
              <w:rPr>
                <w:rFonts w:ascii="宋体" w:hAnsi="宋体" w:eastAsia="宋体" w:cs="宋体"/>
                <w:color w:val="000000"/>
                <w:kern w:val="0"/>
                <w:szCs w:val="21"/>
              </w:rPr>
            </w:pPr>
          </w:p>
        </w:tc>
      </w:tr>
    </w:tbl>
    <w:p>
      <w:pPr>
        <w:spacing w:line="400" w:lineRule="exact"/>
        <w:rPr>
          <w:b/>
          <w:szCs w:val="21"/>
        </w:rPr>
      </w:pPr>
      <w:r>
        <w:rPr>
          <w:rFonts w:hint="eastAsia"/>
        </w:rPr>
        <w:t xml:space="preserve">   </w:t>
      </w:r>
      <w:r>
        <w:rPr>
          <w:rFonts w:hint="eastAsia" w:ascii="宋体" w:hAnsi="宋体" w:eastAsia="宋体"/>
          <w:sz w:val="24"/>
          <w:szCs w:val="24"/>
        </w:rPr>
        <w:t xml:space="preserve"> </w:t>
      </w:r>
      <w:r>
        <w:rPr>
          <w:rFonts w:hint="eastAsia" w:ascii="宋体" w:hAnsi="宋体" w:eastAsia="宋体"/>
          <w:szCs w:val="21"/>
        </w:rPr>
        <w:t>根据</w:t>
      </w:r>
      <w:r>
        <w:rPr>
          <w:rFonts w:ascii="宋体" w:hAnsi="宋体" w:eastAsia="宋体"/>
          <w:szCs w:val="21"/>
        </w:rPr>
        <w:t>上表的结果，</w:t>
      </w:r>
      <w:r>
        <w:rPr>
          <w:rFonts w:hint="eastAsia" w:ascii="宋体" w:hAnsi="宋体" w:eastAsia="宋体"/>
          <w:szCs w:val="21"/>
        </w:rPr>
        <w:t>目标层</w:t>
      </w:r>
      <w:r>
        <w:rPr>
          <w:rFonts w:ascii="宋体" w:hAnsi="宋体" w:eastAsia="宋体"/>
          <w:szCs w:val="21"/>
        </w:rPr>
        <w:t>和准则层各判断</w:t>
      </w:r>
      <w:r>
        <w:rPr>
          <w:rFonts w:hint="eastAsia" w:ascii="宋体" w:hAnsi="宋体" w:eastAsia="宋体"/>
          <w:szCs w:val="21"/>
        </w:rPr>
        <w:t>矩阵的</w:t>
      </w:r>
      <w:r>
        <w:rPr>
          <w:rFonts w:ascii="宋体" w:hAnsi="宋体" w:eastAsia="宋体"/>
          <w:szCs w:val="21"/>
        </w:rPr>
        <w:t>一致性系数</w:t>
      </w:r>
      <w:r>
        <w:rPr>
          <w:rFonts w:ascii="Times New Roman" w:hAnsi="Times New Roman" w:eastAsia="宋体" w:cs="Times New Roman"/>
          <w:i/>
          <w:iCs/>
          <w:szCs w:val="21"/>
        </w:rPr>
        <w:t>CR</w:t>
      </w:r>
      <w:r>
        <w:rPr>
          <w:rFonts w:hint="eastAsia" w:ascii="宋体" w:hAnsi="宋体" w:eastAsia="宋体"/>
          <w:szCs w:val="21"/>
        </w:rPr>
        <w:t>均小于0.1，各判断矩阵均通过</w:t>
      </w:r>
      <w:r>
        <w:rPr>
          <w:rFonts w:ascii="宋体" w:hAnsi="宋体" w:eastAsia="宋体"/>
          <w:szCs w:val="21"/>
        </w:rPr>
        <w:t>一致性检验，权重计算有效。</w:t>
      </w:r>
      <w:r>
        <w:rPr>
          <w:rFonts w:hint="eastAsia" w:ascii="宋体" w:hAnsi="宋体" w:eastAsia="宋体"/>
          <w:szCs w:val="21"/>
        </w:rPr>
        <w:t>在</w:t>
      </w:r>
      <w:r>
        <w:rPr>
          <w:rFonts w:ascii="宋体" w:hAnsi="宋体" w:eastAsia="宋体"/>
          <w:szCs w:val="21"/>
        </w:rPr>
        <w:t>目标</w:t>
      </w:r>
      <w:r>
        <w:rPr>
          <w:rFonts w:hint="eastAsia" w:ascii="宋体" w:hAnsi="宋体" w:eastAsia="宋体"/>
          <w:szCs w:val="21"/>
        </w:rPr>
        <w:t>层</w:t>
      </w:r>
      <w:r>
        <w:rPr>
          <w:rFonts w:ascii="宋体" w:hAnsi="宋体" w:eastAsia="宋体"/>
          <w:szCs w:val="21"/>
        </w:rPr>
        <w:t>中，</w:t>
      </w:r>
      <w:r>
        <w:rPr>
          <w:rFonts w:hint="eastAsia" w:ascii="宋体" w:hAnsi="宋体" w:eastAsia="宋体"/>
          <w:szCs w:val="21"/>
        </w:rPr>
        <w:t>奖助资金发放的科学性</w:t>
      </w:r>
      <w:r>
        <w:rPr>
          <w:rFonts w:ascii="Times New Roman" w:hAnsi="Times New Roman" w:eastAsia="宋体" w:cs="Times New Roman"/>
          <w:i/>
          <w:iCs/>
          <w:szCs w:val="21"/>
        </w:rPr>
        <w:t>B</w:t>
      </w:r>
      <w:r>
        <w:rPr>
          <w:rFonts w:ascii="Times New Roman" w:hAnsi="Times New Roman" w:eastAsia="宋体" w:cs="Times New Roman"/>
          <w:i/>
          <w:iCs/>
          <w:szCs w:val="21"/>
          <w:vertAlign w:val="subscript"/>
        </w:rPr>
        <w:t>1</w:t>
      </w:r>
      <w:r>
        <w:rPr>
          <w:rFonts w:hint="eastAsia" w:ascii="宋体" w:hAnsi="宋体" w:eastAsia="宋体"/>
          <w:szCs w:val="21"/>
        </w:rPr>
        <w:t>、育人措施的有效性</w:t>
      </w:r>
      <w:r>
        <w:rPr>
          <w:rFonts w:ascii="Times New Roman" w:hAnsi="Times New Roman" w:eastAsia="宋体" w:cs="Times New Roman"/>
          <w:i/>
          <w:iCs/>
          <w:szCs w:val="21"/>
        </w:rPr>
        <w:t>B</w:t>
      </w:r>
      <w:r>
        <w:rPr>
          <w:rFonts w:ascii="Times New Roman" w:hAnsi="Times New Roman" w:eastAsia="宋体" w:cs="Times New Roman"/>
          <w:i/>
          <w:iCs/>
          <w:szCs w:val="21"/>
          <w:vertAlign w:val="subscript"/>
        </w:rPr>
        <w:t>2</w:t>
      </w:r>
      <w:r>
        <w:rPr>
          <w:rFonts w:hint="eastAsia" w:ascii="宋体" w:hAnsi="宋体" w:eastAsia="宋体"/>
          <w:szCs w:val="21"/>
        </w:rPr>
        <w:t>、资助工作人员的专业性</w:t>
      </w:r>
      <w:r>
        <w:rPr>
          <w:rFonts w:ascii="Times New Roman" w:hAnsi="Times New Roman" w:eastAsia="宋体" w:cs="Times New Roman"/>
          <w:i/>
          <w:iCs/>
          <w:szCs w:val="21"/>
        </w:rPr>
        <w:t>B</w:t>
      </w:r>
      <w:r>
        <w:rPr>
          <w:rFonts w:ascii="Times New Roman" w:hAnsi="Times New Roman" w:eastAsia="宋体" w:cs="Times New Roman"/>
          <w:i/>
          <w:iCs/>
          <w:szCs w:val="21"/>
          <w:vertAlign w:val="subscript"/>
        </w:rPr>
        <w:t>3</w:t>
      </w:r>
      <w:r>
        <w:rPr>
          <w:rFonts w:hint="eastAsia" w:ascii="宋体" w:hAnsi="宋体" w:eastAsia="宋体"/>
          <w:szCs w:val="21"/>
        </w:rPr>
        <w:t>、宣传报道的及时性</w:t>
      </w:r>
      <w:r>
        <w:rPr>
          <w:rFonts w:ascii="Times New Roman" w:hAnsi="Times New Roman" w:eastAsia="宋体" w:cs="Times New Roman"/>
          <w:i/>
          <w:iCs/>
          <w:szCs w:val="21"/>
        </w:rPr>
        <w:t>B</w:t>
      </w:r>
      <w:r>
        <w:rPr>
          <w:rFonts w:ascii="Times New Roman" w:hAnsi="Times New Roman" w:eastAsia="宋体" w:cs="Times New Roman"/>
          <w:i/>
          <w:iCs/>
          <w:szCs w:val="21"/>
          <w:vertAlign w:val="subscript"/>
        </w:rPr>
        <w:t>4</w:t>
      </w:r>
      <w:r>
        <w:rPr>
          <w:rFonts w:hint="eastAsia" w:ascii="宋体" w:hAnsi="宋体" w:eastAsia="宋体"/>
          <w:szCs w:val="21"/>
        </w:rPr>
        <w:t>四个</w:t>
      </w:r>
      <w:r>
        <w:rPr>
          <w:rFonts w:ascii="宋体" w:hAnsi="宋体" w:eastAsia="宋体"/>
          <w:szCs w:val="21"/>
        </w:rPr>
        <w:t>指标的</w:t>
      </w:r>
      <w:r>
        <w:rPr>
          <w:rFonts w:hint="eastAsia" w:ascii="宋体" w:hAnsi="宋体" w:eastAsia="宋体"/>
          <w:szCs w:val="21"/>
        </w:rPr>
        <w:t>权重</w:t>
      </w:r>
      <w:r>
        <w:rPr>
          <w:rFonts w:ascii="宋体" w:hAnsi="宋体" w:eastAsia="宋体"/>
          <w:szCs w:val="21"/>
        </w:rPr>
        <w:t>分别为0.31</w:t>
      </w:r>
      <w:r>
        <w:rPr>
          <w:rFonts w:hint="eastAsia" w:ascii="宋体" w:hAnsi="宋体" w:eastAsia="宋体"/>
          <w:szCs w:val="21"/>
        </w:rPr>
        <w:t>、</w:t>
      </w:r>
      <w:r>
        <w:rPr>
          <w:rFonts w:ascii="宋体" w:hAnsi="宋体" w:eastAsia="宋体"/>
          <w:szCs w:val="21"/>
        </w:rPr>
        <w:t>0.49</w:t>
      </w:r>
      <w:r>
        <w:rPr>
          <w:rFonts w:hint="eastAsia" w:ascii="宋体" w:hAnsi="宋体" w:eastAsia="宋体"/>
          <w:szCs w:val="21"/>
        </w:rPr>
        <w:t>、</w:t>
      </w:r>
      <w:r>
        <w:rPr>
          <w:rFonts w:ascii="宋体" w:hAnsi="宋体" w:eastAsia="宋体"/>
          <w:szCs w:val="21"/>
        </w:rPr>
        <w:t>0.12</w:t>
      </w:r>
      <w:r>
        <w:rPr>
          <w:rFonts w:hint="eastAsia" w:ascii="宋体" w:hAnsi="宋体" w:eastAsia="宋体"/>
          <w:szCs w:val="21"/>
        </w:rPr>
        <w:t>、</w:t>
      </w:r>
      <w:r>
        <w:rPr>
          <w:rFonts w:ascii="宋体" w:hAnsi="宋体" w:eastAsia="宋体"/>
          <w:szCs w:val="21"/>
        </w:rPr>
        <w:t>0.08</w:t>
      </w:r>
      <w:r>
        <w:rPr>
          <w:rFonts w:hint="eastAsia" w:ascii="宋体" w:hAnsi="宋体" w:eastAsia="宋体"/>
          <w:szCs w:val="21"/>
        </w:rPr>
        <w:t>，其中</w:t>
      </w:r>
      <w:r>
        <w:rPr>
          <w:rFonts w:ascii="宋体" w:hAnsi="宋体" w:eastAsia="宋体"/>
          <w:szCs w:val="21"/>
        </w:rPr>
        <w:t>育人措施的有效性</w:t>
      </w:r>
      <w:r>
        <w:rPr>
          <w:rFonts w:ascii="Times New Roman" w:hAnsi="Times New Roman" w:eastAsia="宋体" w:cs="Times New Roman"/>
          <w:i/>
          <w:iCs/>
          <w:szCs w:val="21"/>
        </w:rPr>
        <w:t>B</w:t>
      </w:r>
      <w:r>
        <w:rPr>
          <w:rFonts w:ascii="Times New Roman" w:hAnsi="Times New Roman" w:eastAsia="宋体" w:cs="Times New Roman"/>
          <w:i/>
          <w:iCs/>
          <w:szCs w:val="21"/>
          <w:vertAlign w:val="subscript"/>
        </w:rPr>
        <w:t>2</w:t>
      </w:r>
      <w:r>
        <w:rPr>
          <w:rFonts w:ascii="宋体" w:hAnsi="宋体" w:eastAsia="宋体"/>
          <w:szCs w:val="21"/>
        </w:rPr>
        <w:t>所占</w:t>
      </w:r>
      <w:r>
        <w:rPr>
          <w:rFonts w:hint="eastAsia" w:ascii="宋体" w:hAnsi="宋体" w:eastAsia="宋体"/>
          <w:szCs w:val="21"/>
        </w:rPr>
        <w:t>权重</w:t>
      </w:r>
      <w:r>
        <w:rPr>
          <w:rFonts w:ascii="宋体" w:hAnsi="宋体" w:eastAsia="宋体"/>
          <w:szCs w:val="21"/>
        </w:rPr>
        <w:t>最大</w:t>
      </w:r>
      <w:r>
        <w:rPr>
          <w:rFonts w:hint="eastAsia" w:ascii="宋体" w:hAnsi="宋体" w:eastAsia="宋体"/>
          <w:szCs w:val="21"/>
        </w:rPr>
        <w:t>。在准则</w:t>
      </w:r>
      <w:r>
        <w:rPr>
          <w:rFonts w:ascii="宋体" w:hAnsi="宋体" w:eastAsia="宋体"/>
          <w:szCs w:val="21"/>
        </w:rPr>
        <w:t>层</w:t>
      </w:r>
      <w:r>
        <w:rPr>
          <w:rFonts w:hint="eastAsia" w:ascii="宋体" w:hAnsi="宋体" w:eastAsia="宋体"/>
          <w:szCs w:val="21"/>
        </w:rPr>
        <w:t>奖助资金发放的科学性</w:t>
      </w:r>
      <w:r>
        <w:rPr>
          <w:rFonts w:ascii="Times New Roman" w:hAnsi="Times New Roman" w:eastAsia="宋体" w:cs="Times New Roman"/>
          <w:i/>
          <w:iCs/>
          <w:szCs w:val="21"/>
        </w:rPr>
        <w:t>B</w:t>
      </w:r>
      <w:r>
        <w:rPr>
          <w:rFonts w:ascii="Times New Roman" w:hAnsi="Times New Roman" w:eastAsia="宋体" w:cs="Times New Roman"/>
          <w:i/>
          <w:iCs/>
          <w:szCs w:val="21"/>
          <w:vertAlign w:val="subscript"/>
        </w:rPr>
        <w:t>1</w:t>
      </w:r>
      <w:r>
        <w:rPr>
          <w:rFonts w:hint="eastAsia" w:ascii="宋体" w:hAnsi="宋体" w:eastAsia="宋体"/>
          <w:szCs w:val="21"/>
        </w:rPr>
        <w:t>中</w:t>
      </w:r>
      <w:r>
        <w:rPr>
          <w:rFonts w:ascii="宋体" w:hAnsi="宋体" w:eastAsia="宋体"/>
          <w:szCs w:val="21"/>
        </w:rPr>
        <w:t>，</w:t>
      </w:r>
      <w:r>
        <w:rPr>
          <w:rFonts w:hint="eastAsia" w:ascii="宋体" w:hAnsi="宋体" w:eastAsia="宋体"/>
          <w:szCs w:val="21"/>
        </w:rPr>
        <w:t>家庭经济</w:t>
      </w:r>
      <w:r>
        <w:rPr>
          <w:rFonts w:ascii="宋体" w:hAnsi="宋体" w:eastAsia="宋体"/>
          <w:szCs w:val="21"/>
        </w:rPr>
        <w:t>困难学生</w:t>
      </w:r>
      <w:r>
        <w:rPr>
          <w:rFonts w:hint="eastAsia" w:ascii="宋体" w:hAnsi="宋体" w:eastAsia="宋体"/>
          <w:szCs w:val="21"/>
        </w:rPr>
        <w:t>认定</w:t>
      </w:r>
      <w:r>
        <w:rPr>
          <w:rFonts w:ascii="宋体" w:hAnsi="宋体" w:eastAsia="宋体"/>
          <w:szCs w:val="21"/>
        </w:rPr>
        <w:t>精确的权重最大，</w:t>
      </w:r>
      <w:r>
        <w:rPr>
          <w:rFonts w:hint="eastAsia" w:ascii="宋体" w:hAnsi="宋体" w:eastAsia="宋体"/>
          <w:szCs w:val="21"/>
        </w:rPr>
        <w:t>为0.46,；</w:t>
      </w:r>
      <w:r>
        <w:rPr>
          <w:rFonts w:ascii="宋体" w:hAnsi="宋体" w:eastAsia="宋体"/>
          <w:szCs w:val="21"/>
        </w:rPr>
        <w:t>在准则层</w:t>
      </w:r>
      <w:r>
        <w:rPr>
          <w:rFonts w:hint="eastAsia" w:ascii="宋体" w:hAnsi="宋体" w:eastAsia="宋体" w:cs="宋体"/>
          <w:color w:val="000000"/>
          <w:szCs w:val="21"/>
        </w:rPr>
        <w:t>育人措施的有效性</w:t>
      </w:r>
      <w:r>
        <w:rPr>
          <w:rFonts w:ascii="Times New Roman" w:hAnsi="Times New Roman" w:eastAsia="宋体" w:cs="Times New Roman"/>
          <w:i/>
          <w:iCs/>
          <w:color w:val="000000"/>
          <w:szCs w:val="21"/>
        </w:rPr>
        <w:t>B</w:t>
      </w:r>
      <w:r>
        <w:rPr>
          <w:rFonts w:ascii="Times New Roman" w:hAnsi="Times New Roman" w:eastAsia="宋体" w:cs="Times New Roman"/>
          <w:i/>
          <w:iCs/>
          <w:color w:val="000000"/>
          <w:szCs w:val="21"/>
          <w:vertAlign w:val="subscript"/>
        </w:rPr>
        <w:t>2</w:t>
      </w:r>
      <w:r>
        <w:rPr>
          <w:rFonts w:hint="eastAsia" w:ascii="宋体" w:hAnsi="宋体" w:eastAsia="宋体"/>
          <w:szCs w:val="21"/>
        </w:rPr>
        <w:t>中</w:t>
      </w:r>
      <w:r>
        <w:rPr>
          <w:rFonts w:ascii="宋体" w:hAnsi="宋体" w:eastAsia="宋体"/>
          <w:szCs w:val="21"/>
        </w:rPr>
        <w:t>，</w:t>
      </w:r>
      <w:r>
        <w:rPr>
          <w:rFonts w:hint="eastAsia" w:ascii="宋体" w:hAnsi="宋体" w:eastAsia="宋体"/>
          <w:szCs w:val="21"/>
        </w:rPr>
        <w:t>对</w:t>
      </w:r>
      <w:r>
        <w:rPr>
          <w:rFonts w:ascii="宋体" w:hAnsi="宋体" w:eastAsia="宋体"/>
          <w:szCs w:val="21"/>
        </w:rPr>
        <w:t>受助学生的心理关怀</w:t>
      </w:r>
      <w:r>
        <w:rPr>
          <w:rFonts w:ascii="Times New Roman" w:hAnsi="Times New Roman" w:eastAsia="宋体" w:cs="Times New Roman"/>
          <w:i/>
          <w:iCs/>
          <w:szCs w:val="21"/>
        </w:rPr>
        <w:t>C</w:t>
      </w:r>
      <w:r>
        <w:rPr>
          <w:rFonts w:ascii="Times New Roman" w:hAnsi="Times New Roman" w:eastAsia="宋体" w:cs="Times New Roman"/>
          <w:i/>
          <w:iCs/>
          <w:szCs w:val="21"/>
          <w:vertAlign w:val="subscript"/>
        </w:rPr>
        <w:t>7</w:t>
      </w:r>
      <w:r>
        <w:rPr>
          <w:rFonts w:ascii="宋体" w:hAnsi="宋体" w:eastAsia="宋体"/>
          <w:szCs w:val="21"/>
        </w:rPr>
        <w:t>、</w:t>
      </w:r>
      <w:r>
        <w:rPr>
          <w:rFonts w:hint="eastAsia" w:ascii="宋体" w:hAnsi="宋体" w:eastAsia="宋体"/>
          <w:szCs w:val="21"/>
        </w:rPr>
        <w:t>学业</w:t>
      </w:r>
      <w:r>
        <w:rPr>
          <w:rFonts w:ascii="宋体" w:hAnsi="宋体" w:eastAsia="宋体"/>
          <w:szCs w:val="21"/>
        </w:rPr>
        <w:t>和就业能力提升</w:t>
      </w:r>
      <w:r>
        <w:rPr>
          <w:rFonts w:ascii="Times New Roman" w:hAnsi="Times New Roman" w:eastAsia="宋体" w:cs="Times New Roman"/>
          <w:i/>
          <w:iCs/>
          <w:szCs w:val="21"/>
        </w:rPr>
        <w:t>C</w:t>
      </w:r>
      <w:r>
        <w:rPr>
          <w:rFonts w:ascii="Times New Roman" w:hAnsi="Times New Roman" w:eastAsia="宋体" w:cs="Times New Roman"/>
          <w:i/>
          <w:iCs/>
          <w:szCs w:val="21"/>
          <w:vertAlign w:val="subscript"/>
        </w:rPr>
        <w:t>8</w:t>
      </w:r>
      <w:r>
        <w:rPr>
          <w:rFonts w:hint="eastAsia" w:ascii="宋体" w:hAnsi="宋体" w:eastAsia="宋体"/>
          <w:szCs w:val="21"/>
        </w:rPr>
        <w:t>两个</w:t>
      </w:r>
      <w:r>
        <w:rPr>
          <w:rFonts w:ascii="宋体" w:hAnsi="宋体" w:eastAsia="宋体"/>
          <w:szCs w:val="21"/>
        </w:rPr>
        <w:t>指标所占权重</w:t>
      </w:r>
      <w:r>
        <w:rPr>
          <w:rFonts w:hint="eastAsia" w:ascii="宋体" w:hAnsi="宋体" w:eastAsia="宋体"/>
          <w:szCs w:val="21"/>
        </w:rPr>
        <w:t>较大</w:t>
      </w:r>
      <w:r>
        <w:rPr>
          <w:rFonts w:ascii="宋体" w:hAnsi="宋体" w:eastAsia="宋体"/>
          <w:szCs w:val="21"/>
        </w:rPr>
        <w:t>，分别为</w:t>
      </w:r>
      <w:r>
        <w:rPr>
          <w:rFonts w:hint="eastAsia" w:ascii="宋体" w:hAnsi="宋体" w:eastAsia="宋体"/>
          <w:szCs w:val="21"/>
        </w:rPr>
        <w:t>0.33和0.21；</w:t>
      </w:r>
      <w:r>
        <w:rPr>
          <w:rFonts w:ascii="宋体" w:hAnsi="宋体" w:eastAsia="宋体"/>
          <w:szCs w:val="21"/>
        </w:rPr>
        <w:t>在准则层</w:t>
      </w:r>
      <w:r>
        <w:rPr>
          <w:rFonts w:hint="eastAsia" w:ascii="宋体" w:hAnsi="宋体" w:eastAsia="宋体"/>
          <w:szCs w:val="21"/>
        </w:rPr>
        <w:t>资助工作人员的专业性</w:t>
      </w:r>
      <w:r>
        <w:rPr>
          <w:rFonts w:ascii="Times New Roman" w:hAnsi="Times New Roman" w:eastAsia="宋体" w:cs="Times New Roman"/>
          <w:i/>
          <w:iCs/>
          <w:szCs w:val="21"/>
        </w:rPr>
        <w:t>B</w:t>
      </w:r>
      <w:r>
        <w:rPr>
          <w:rFonts w:ascii="Times New Roman" w:hAnsi="Times New Roman" w:eastAsia="宋体" w:cs="Times New Roman"/>
          <w:i/>
          <w:iCs/>
          <w:szCs w:val="21"/>
          <w:vertAlign w:val="subscript"/>
        </w:rPr>
        <w:t>3</w:t>
      </w:r>
      <w:r>
        <w:rPr>
          <w:rFonts w:hint="eastAsia" w:ascii="宋体" w:hAnsi="宋体" w:eastAsia="宋体"/>
          <w:szCs w:val="21"/>
        </w:rPr>
        <w:t>中</w:t>
      </w:r>
      <w:r>
        <w:rPr>
          <w:rFonts w:ascii="宋体" w:hAnsi="宋体" w:eastAsia="宋体"/>
          <w:szCs w:val="21"/>
        </w:rPr>
        <w:t>，资助</w:t>
      </w:r>
      <w:r>
        <w:rPr>
          <w:rFonts w:hint="eastAsia" w:ascii="宋体" w:hAnsi="宋体" w:eastAsia="宋体"/>
          <w:szCs w:val="21"/>
        </w:rPr>
        <w:t>工作人员</w:t>
      </w:r>
      <w:r>
        <w:rPr>
          <w:rFonts w:ascii="宋体" w:hAnsi="宋体" w:eastAsia="宋体"/>
          <w:szCs w:val="21"/>
        </w:rPr>
        <w:t>保持与受助学生保持密切联系这一指标</w:t>
      </w:r>
      <w:r>
        <w:rPr>
          <w:rFonts w:ascii="Times New Roman" w:hAnsi="Times New Roman" w:eastAsia="宋体" w:cs="Times New Roman"/>
          <w:i/>
          <w:iCs/>
          <w:szCs w:val="21"/>
        </w:rPr>
        <w:t>C</w:t>
      </w:r>
      <w:r>
        <w:rPr>
          <w:rFonts w:ascii="Times New Roman" w:hAnsi="Times New Roman" w:eastAsia="宋体" w:cs="Times New Roman"/>
          <w:i/>
          <w:iCs/>
          <w:szCs w:val="21"/>
          <w:vertAlign w:val="subscript"/>
        </w:rPr>
        <w:t>12</w:t>
      </w:r>
      <w:r>
        <w:rPr>
          <w:rFonts w:hint="eastAsia" w:ascii="宋体" w:hAnsi="宋体" w:eastAsia="宋体"/>
          <w:szCs w:val="21"/>
        </w:rPr>
        <w:t>被认为</w:t>
      </w:r>
      <w:r>
        <w:rPr>
          <w:rFonts w:ascii="宋体" w:hAnsi="宋体" w:eastAsia="宋体"/>
          <w:szCs w:val="21"/>
        </w:rPr>
        <w:t>最为重要，比例占到</w:t>
      </w:r>
      <w:r>
        <w:rPr>
          <w:rFonts w:hint="eastAsia" w:ascii="宋体" w:hAnsi="宋体" w:eastAsia="宋体"/>
          <w:szCs w:val="21"/>
        </w:rPr>
        <w:t>0.53；</w:t>
      </w:r>
      <w:r>
        <w:rPr>
          <w:rFonts w:ascii="宋体" w:hAnsi="宋体" w:eastAsia="宋体"/>
          <w:szCs w:val="21"/>
        </w:rPr>
        <w:t>在</w:t>
      </w:r>
      <w:r>
        <w:rPr>
          <w:rFonts w:hint="eastAsia" w:ascii="宋体" w:hAnsi="宋体" w:eastAsia="宋体"/>
          <w:szCs w:val="21"/>
        </w:rPr>
        <w:t>准则层</w:t>
      </w:r>
      <w:r>
        <w:rPr>
          <w:rFonts w:ascii="宋体" w:hAnsi="宋体" w:eastAsia="宋体"/>
          <w:szCs w:val="21"/>
        </w:rPr>
        <w:t>宣传报道的及时性</w:t>
      </w:r>
      <w:r>
        <w:rPr>
          <w:rFonts w:ascii="Times New Roman" w:hAnsi="Times New Roman" w:eastAsia="宋体" w:cs="Times New Roman"/>
          <w:i/>
          <w:iCs/>
          <w:color w:val="000000"/>
          <w:kern w:val="0"/>
          <w:szCs w:val="21"/>
        </w:rPr>
        <w:t>B</w:t>
      </w:r>
      <w:r>
        <w:rPr>
          <w:rFonts w:ascii="Times New Roman" w:hAnsi="Times New Roman" w:eastAsia="宋体" w:cs="Times New Roman"/>
          <w:i/>
          <w:iCs/>
          <w:color w:val="000000"/>
          <w:kern w:val="0"/>
          <w:szCs w:val="21"/>
          <w:vertAlign w:val="subscript"/>
        </w:rPr>
        <w:t>4</w:t>
      </w:r>
      <w:r>
        <w:rPr>
          <w:rFonts w:hint="eastAsia" w:ascii="宋体" w:hAnsi="宋体" w:eastAsia="宋体" w:cs="宋体"/>
          <w:color w:val="000000"/>
          <w:kern w:val="0"/>
          <w:szCs w:val="21"/>
        </w:rPr>
        <w:t>中</w:t>
      </w:r>
      <w:r>
        <w:rPr>
          <w:rFonts w:ascii="宋体" w:hAnsi="宋体" w:eastAsia="宋体" w:cs="宋体"/>
          <w:color w:val="000000"/>
          <w:kern w:val="0"/>
          <w:szCs w:val="21"/>
        </w:rPr>
        <w:t>，</w:t>
      </w:r>
      <w:r>
        <w:rPr>
          <w:rFonts w:hint="eastAsia" w:ascii="宋体" w:hAnsi="宋体" w:eastAsia="宋体" w:cs="宋体"/>
          <w:color w:val="000000"/>
          <w:kern w:val="0"/>
          <w:szCs w:val="21"/>
        </w:rPr>
        <w:t>对资助</w:t>
      </w:r>
      <w:r>
        <w:rPr>
          <w:rFonts w:ascii="宋体" w:hAnsi="宋体" w:eastAsia="宋体" w:cs="宋体"/>
          <w:color w:val="000000"/>
          <w:kern w:val="0"/>
          <w:szCs w:val="21"/>
        </w:rPr>
        <w:t>政策</w:t>
      </w:r>
      <w:r>
        <w:rPr>
          <w:rFonts w:hint="eastAsia" w:ascii="宋体" w:hAnsi="宋体" w:eastAsia="宋体" w:cs="宋体"/>
          <w:color w:val="000000"/>
          <w:kern w:val="0"/>
          <w:szCs w:val="21"/>
        </w:rPr>
        <w:t>的</w:t>
      </w:r>
      <w:r>
        <w:rPr>
          <w:rFonts w:ascii="宋体" w:hAnsi="宋体" w:eastAsia="宋体" w:cs="宋体"/>
          <w:color w:val="000000"/>
          <w:kern w:val="0"/>
          <w:szCs w:val="21"/>
        </w:rPr>
        <w:t>宣讲解读</w:t>
      </w:r>
      <w:r>
        <w:rPr>
          <w:rFonts w:ascii="Times New Roman" w:hAnsi="Times New Roman" w:eastAsia="宋体" w:cs="Times New Roman"/>
          <w:i/>
          <w:iCs/>
          <w:color w:val="000000"/>
          <w:kern w:val="0"/>
          <w:szCs w:val="21"/>
        </w:rPr>
        <w:t>C</w:t>
      </w:r>
      <w:r>
        <w:rPr>
          <w:rFonts w:ascii="Times New Roman" w:hAnsi="Times New Roman" w:eastAsia="宋体" w:cs="Times New Roman"/>
          <w:i/>
          <w:iCs/>
          <w:color w:val="000000"/>
          <w:kern w:val="0"/>
          <w:szCs w:val="21"/>
          <w:vertAlign w:val="subscript"/>
        </w:rPr>
        <w:t>14</w:t>
      </w:r>
      <w:r>
        <w:rPr>
          <w:rFonts w:hint="eastAsia" w:ascii="宋体" w:hAnsi="宋体" w:eastAsia="宋体" w:cs="宋体"/>
          <w:color w:val="000000"/>
          <w:kern w:val="0"/>
          <w:szCs w:val="21"/>
        </w:rPr>
        <w:t>权重</w:t>
      </w:r>
      <w:r>
        <w:rPr>
          <w:rFonts w:ascii="宋体" w:hAnsi="宋体" w:eastAsia="宋体" w:cs="宋体"/>
          <w:color w:val="000000"/>
          <w:kern w:val="0"/>
          <w:szCs w:val="21"/>
        </w:rPr>
        <w:t>最大，为</w:t>
      </w:r>
      <w:r>
        <w:rPr>
          <w:rFonts w:hint="eastAsia" w:ascii="宋体" w:hAnsi="宋体" w:eastAsia="宋体" w:cs="宋体"/>
          <w:color w:val="000000"/>
          <w:kern w:val="0"/>
          <w:szCs w:val="21"/>
        </w:rPr>
        <w:t>0.53。</w:t>
      </w:r>
    </w:p>
    <w:p>
      <w:pPr>
        <w:spacing w:line="400" w:lineRule="exact"/>
        <w:ind w:firstLine="482" w:firstLineChars="200"/>
        <w:rPr>
          <w:rFonts w:ascii="宋体" w:hAnsi="宋体" w:eastAsia="宋体"/>
          <w:b/>
          <w:sz w:val="24"/>
          <w:szCs w:val="24"/>
        </w:rPr>
      </w:pPr>
      <w:r>
        <w:rPr>
          <w:rFonts w:hint="eastAsia" w:ascii="宋体" w:hAnsi="宋体" w:eastAsia="宋体"/>
          <w:b/>
          <w:sz w:val="24"/>
          <w:szCs w:val="24"/>
        </w:rPr>
        <w:t>三</w:t>
      </w:r>
      <w:r>
        <w:rPr>
          <w:rFonts w:ascii="宋体" w:hAnsi="宋体" w:eastAsia="宋体"/>
          <w:b/>
          <w:sz w:val="24"/>
          <w:szCs w:val="24"/>
        </w:rPr>
        <w:t>、</w:t>
      </w:r>
      <w:r>
        <w:rPr>
          <w:rFonts w:hint="eastAsia" w:ascii="宋体" w:hAnsi="宋体" w:eastAsia="宋体"/>
          <w:b/>
          <w:sz w:val="24"/>
          <w:szCs w:val="24"/>
        </w:rPr>
        <w:t>改进</w:t>
      </w:r>
      <w:r>
        <w:rPr>
          <w:rFonts w:ascii="宋体" w:hAnsi="宋体" w:eastAsia="宋体"/>
          <w:b/>
          <w:sz w:val="24"/>
          <w:szCs w:val="24"/>
        </w:rPr>
        <w:t>高校资助育人工作</w:t>
      </w:r>
      <w:r>
        <w:rPr>
          <w:rFonts w:hint="eastAsia" w:ascii="宋体" w:hAnsi="宋体" w:eastAsia="宋体"/>
          <w:b/>
          <w:sz w:val="24"/>
          <w:szCs w:val="24"/>
        </w:rPr>
        <w:t>效果</w:t>
      </w:r>
      <w:r>
        <w:rPr>
          <w:rFonts w:ascii="宋体" w:hAnsi="宋体" w:eastAsia="宋体"/>
          <w:b/>
          <w:sz w:val="24"/>
          <w:szCs w:val="24"/>
        </w:rPr>
        <w:t>的对策</w:t>
      </w:r>
    </w:p>
    <w:p>
      <w:pPr>
        <w:spacing w:line="400" w:lineRule="exact"/>
        <w:ind w:firstLine="420" w:firstLineChars="200"/>
        <w:rPr>
          <w:rFonts w:ascii="宋体" w:hAnsi="宋体" w:eastAsia="宋体"/>
          <w:b/>
          <w:sz w:val="24"/>
          <w:szCs w:val="24"/>
        </w:rPr>
      </w:pPr>
      <w:r>
        <w:rPr>
          <w:rFonts w:hint="eastAsia" w:ascii="宋体" w:hAnsi="宋体" w:eastAsia="宋体"/>
          <w:szCs w:val="21"/>
        </w:rPr>
        <w:t>根据</w:t>
      </w:r>
      <w:r>
        <w:rPr>
          <w:rFonts w:ascii="宋体" w:hAnsi="宋体" w:eastAsia="宋体"/>
          <w:szCs w:val="21"/>
        </w:rPr>
        <w:t>“</w:t>
      </w:r>
      <w:r>
        <w:rPr>
          <w:rFonts w:hint="eastAsia" w:ascii="宋体" w:hAnsi="宋体" w:eastAsia="宋体"/>
          <w:szCs w:val="21"/>
        </w:rPr>
        <w:t>十大育人</w:t>
      </w:r>
      <w:r>
        <w:rPr>
          <w:rFonts w:ascii="宋体" w:hAnsi="宋体" w:eastAsia="宋体"/>
          <w:szCs w:val="21"/>
        </w:rPr>
        <w:t>”</w:t>
      </w:r>
      <w:r>
        <w:rPr>
          <w:rFonts w:hint="eastAsia" w:ascii="宋体" w:hAnsi="宋体" w:eastAsia="宋体"/>
          <w:szCs w:val="21"/>
        </w:rPr>
        <w:t>体系中</w:t>
      </w:r>
      <w:r>
        <w:rPr>
          <w:rFonts w:ascii="宋体" w:hAnsi="宋体" w:eastAsia="宋体"/>
          <w:szCs w:val="21"/>
        </w:rPr>
        <w:t>的相关要求，</w:t>
      </w:r>
      <w:r>
        <w:rPr>
          <w:rFonts w:hint="eastAsia" w:ascii="宋体" w:hAnsi="宋体" w:eastAsia="宋体"/>
          <w:szCs w:val="21"/>
        </w:rPr>
        <w:t>资助育人要</w:t>
      </w:r>
      <w:r>
        <w:rPr>
          <w:rFonts w:ascii="宋体" w:hAnsi="宋体" w:eastAsia="宋体"/>
          <w:szCs w:val="21"/>
        </w:rPr>
        <w:t>实现</w:t>
      </w:r>
      <w:r>
        <w:rPr>
          <w:rFonts w:hint="eastAsia" w:ascii="宋体" w:hAnsi="宋体" w:eastAsia="宋体"/>
          <w:szCs w:val="21"/>
        </w:rPr>
        <w:t>“扶困”与“扶智”、“扶困”与“扶志”的结合，</w:t>
      </w:r>
      <w:r>
        <w:rPr>
          <w:rFonts w:ascii="宋体" w:hAnsi="宋体" w:eastAsia="宋体"/>
          <w:szCs w:val="21"/>
        </w:rPr>
        <w:t>而</w:t>
      </w:r>
      <w:r>
        <w:rPr>
          <w:rFonts w:hint="eastAsia" w:ascii="宋体" w:hAnsi="宋体" w:eastAsia="宋体"/>
          <w:szCs w:val="21"/>
        </w:rPr>
        <w:t>资助</w:t>
      </w:r>
      <w:r>
        <w:rPr>
          <w:rFonts w:ascii="宋体" w:hAnsi="宋体" w:eastAsia="宋体"/>
          <w:szCs w:val="21"/>
        </w:rPr>
        <w:t>育人工作评价体系的构建，对于</w:t>
      </w:r>
      <w:r>
        <w:rPr>
          <w:rFonts w:hint="eastAsia" w:ascii="宋体" w:hAnsi="宋体" w:eastAsia="宋体"/>
          <w:szCs w:val="21"/>
        </w:rPr>
        <w:t>充分</w:t>
      </w:r>
      <w:r>
        <w:rPr>
          <w:rFonts w:ascii="宋体" w:hAnsi="宋体" w:eastAsia="宋体"/>
          <w:szCs w:val="21"/>
        </w:rPr>
        <w:t>发挥资助</w:t>
      </w:r>
      <w:r>
        <w:rPr>
          <w:rFonts w:hint="eastAsia" w:ascii="宋体" w:hAnsi="宋体" w:eastAsia="宋体"/>
          <w:szCs w:val="21"/>
        </w:rPr>
        <w:t>工作</w:t>
      </w:r>
      <w:r>
        <w:rPr>
          <w:rFonts w:ascii="宋体" w:hAnsi="宋体" w:eastAsia="宋体"/>
          <w:szCs w:val="21"/>
        </w:rPr>
        <w:t>的育人</w:t>
      </w:r>
      <w:r>
        <w:rPr>
          <w:rFonts w:hint="eastAsia" w:ascii="宋体" w:hAnsi="宋体" w:eastAsia="宋体"/>
          <w:szCs w:val="21"/>
        </w:rPr>
        <w:t>功能</w:t>
      </w:r>
      <w:r>
        <w:rPr>
          <w:rFonts w:ascii="宋体" w:hAnsi="宋体" w:eastAsia="宋体"/>
          <w:szCs w:val="21"/>
        </w:rPr>
        <w:t>，</w:t>
      </w:r>
      <w:r>
        <w:rPr>
          <w:rFonts w:hint="eastAsia" w:ascii="宋体" w:hAnsi="宋体" w:eastAsia="宋体"/>
          <w:szCs w:val="21"/>
        </w:rPr>
        <w:t>实现高等</w:t>
      </w:r>
      <w:r>
        <w:rPr>
          <w:rFonts w:ascii="宋体" w:hAnsi="宋体" w:eastAsia="宋体"/>
          <w:szCs w:val="21"/>
        </w:rPr>
        <w:t>教育</w:t>
      </w:r>
      <w:r>
        <w:rPr>
          <w:rFonts w:hint="eastAsia" w:ascii="宋体" w:hAnsi="宋体" w:eastAsia="宋体"/>
          <w:szCs w:val="21"/>
        </w:rPr>
        <w:t>立德树人</w:t>
      </w:r>
      <w:r>
        <w:rPr>
          <w:rFonts w:ascii="宋体" w:hAnsi="宋体" w:eastAsia="宋体"/>
          <w:szCs w:val="21"/>
        </w:rPr>
        <w:t>的</w:t>
      </w:r>
      <w:r>
        <w:rPr>
          <w:rFonts w:hint="eastAsia" w:ascii="宋体" w:hAnsi="宋体" w:eastAsia="宋体"/>
          <w:szCs w:val="21"/>
        </w:rPr>
        <w:t>最终</w:t>
      </w:r>
      <w:r>
        <w:rPr>
          <w:rFonts w:ascii="宋体" w:hAnsi="宋体" w:eastAsia="宋体"/>
          <w:szCs w:val="21"/>
        </w:rPr>
        <w:t>目标</w:t>
      </w:r>
      <w:r>
        <w:rPr>
          <w:rFonts w:hint="eastAsia" w:ascii="宋体" w:hAnsi="宋体" w:eastAsia="宋体"/>
          <w:szCs w:val="21"/>
        </w:rPr>
        <w:t>将</w:t>
      </w:r>
      <w:r>
        <w:rPr>
          <w:rFonts w:ascii="宋体" w:hAnsi="宋体" w:eastAsia="宋体"/>
          <w:szCs w:val="21"/>
        </w:rPr>
        <w:t>起到一定的</w:t>
      </w:r>
      <w:r>
        <w:rPr>
          <w:rFonts w:hint="eastAsia" w:ascii="宋体" w:hAnsi="宋体" w:eastAsia="宋体"/>
          <w:szCs w:val="21"/>
        </w:rPr>
        <w:t>指向作用</w:t>
      </w:r>
      <w:r>
        <w:rPr>
          <w:rFonts w:ascii="宋体" w:hAnsi="宋体" w:eastAsia="宋体"/>
          <w:szCs w:val="21"/>
        </w:rPr>
        <w:t>。</w:t>
      </w:r>
      <w:r>
        <w:rPr>
          <w:rFonts w:hint="eastAsia" w:ascii="宋体" w:hAnsi="宋体" w:eastAsia="宋体"/>
          <w:szCs w:val="21"/>
        </w:rPr>
        <w:t>本文</w:t>
      </w:r>
      <w:r>
        <w:rPr>
          <w:rFonts w:ascii="宋体" w:hAnsi="宋体" w:eastAsia="宋体"/>
          <w:szCs w:val="21"/>
        </w:rPr>
        <w:t>利用所构建</w:t>
      </w:r>
      <w:r>
        <w:rPr>
          <w:rFonts w:hint="eastAsia" w:ascii="宋体" w:hAnsi="宋体" w:eastAsia="宋体"/>
          <w:szCs w:val="21"/>
        </w:rPr>
        <w:t>的</w:t>
      </w:r>
      <w:r>
        <w:rPr>
          <w:rFonts w:ascii="宋体" w:hAnsi="宋体" w:eastAsia="宋体"/>
          <w:szCs w:val="21"/>
        </w:rPr>
        <w:t>资助育人工作评价体系，为资助育人工作的有效开展提</w:t>
      </w:r>
      <w:r>
        <w:rPr>
          <w:rFonts w:hint="eastAsia" w:ascii="宋体" w:hAnsi="宋体" w:eastAsia="宋体"/>
          <w:szCs w:val="21"/>
        </w:rPr>
        <w:t>出</w:t>
      </w:r>
      <w:r>
        <w:rPr>
          <w:rFonts w:ascii="宋体" w:hAnsi="宋体" w:eastAsia="宋体"/>
          <w:szCs w:val="21"/>
        </w:rPr>
        <w:t>了</w:t>
      </w:r>
      <w:r>
        <w:rPr>
          <w:rFonts w:hint="eastAsia" w:ascii="宋体" w:hAnsi="宋体" w:eastAsia="宋体"/>
          <w:szCs w:val="21"/>
        </w:rPr>
        <w:t>“四精”改进</w:t>
      </w:r>
      <w:r>
        <w:rPr>
          <w:rFonts w:ascii="宋体" w:hAnsi="宋体" w:eastAsia="宋体"/>
          <w:szCs w:val="21"/>
        </w:rPr>
        <w:t>对策</w:t>
      </w:r>
      <w:r>
        <w:rPr>
          <w:rFonts w:hint="eastAsia" w:ascii="宋体" w:hAnsi="宋体" w:eastAsia="宋体"/>
          <w:szCs w:val="21"/>
        </w:rPr>
        <w:t>。</w:t>
      </w:r>
    </w:p>
    <w:p>
      <w:pPr>
        <w:spacing w:line="400" w:lineRule="exact"/>
        <w:ind w:firstLine="422" w:firstLineChars="200"/>
        <w:rPr>
          <w:rFonts w:ascii="宋体" w:hAnsi="宋体" w:eastAsia="宋体"/>
          <w:b/>
          <w:szCs w:val="21"/>
        </w:rPr>
      </w:pPr>
      <w:r>
        <w:rPr>
          <w:rFonts w:hint="eastAsia" w:ascii="宋体" w:hAnsi="宋体" w:eastAsia="宋体"/>
          <w:b/>
          <w:szCs w:val="21"/>
        </w:rPr>
        <w:t>（一）坚持精准化开展</w:t>
      </w:r>
      <w:r>
        <w:rPr>
          <w:rFonts w:ascii="宋体" w:hAnsi="宋体" w:eastAsia="宋体"/>
          <w:b/>
          <w:szCs w:val="21"/>
        </w:rPr>
        <w:t>资助</w:t>
      </w:r>
    </w:p>
    <w:p>
      <w:pPr>
        <w:spacing w:line="400" w:lineRule="exact"/>
        <w:ind w:firstLine="420" w:firstLineChars="200"/>
        <w:rPr>
          <w:rFonts w:ascii="宋体" w:hAnsi="宋体" w:eastAsia="宋体"/>
          <w:szCs w:val="21"/>
        </w:rPr>
      </w:pPr>
      <w:r>
        <w:rPr>
          <w:rFonts w:hint="eastAsia" w:ascii="宋体" w:hAnsi="宋体" w:eastAsia="宋体"/>
          <w:szCs w:val="21"/>
        </w:rPr>
        <w:t>资助对象精准、资助标准精准、资金发放精准是全面推进</w:t>
      </w:r>
      <w:r>
        <w:rPr>
          <w:rFonts w:ascii="宋体" w:hAnsi="宋体" w:eastAsia="宋体"/>
          <w:szCs w:val="21"/>
        </w:rPr>
        <w:t>学生资助精准化的</w:t>
      </w:r>
      <w:r>
        <w:rPr>
          <w:rFonts w:hint="eastAsia" w:ascii="宋体" w:hAnsi="宋体" w:eastAsia="宋体"/>
          <w:szCs w:val="21"/>
        </w:rPr>
        <w:t>基准</w:t>
      </w:r>
      <w:r>
        <w:rPr>
          <w:rFonts w:ascii="宋体" w:hAnsi="宋体" w:eastAsia="宋体"/>
          <w:szCs w:val="21"/>
        </w:rPr>
        <w:t>，</w:t>
      </w:r>
      <w:r>
        <w:rPr>
          <w:rFonts w:hint="eastAsia" w:ascii="宋体" w:hAnsi="宋体" w:eastAsia="宋体"/>
          <w:szCs w:val="21"/>
        </w:rPr>
        <w:t>资助</w:t>
      </w:r>
      <w:r>
        <w:rPr>
          <w:rFonts w:ascii="宋体" w:hAnsi="宋体" w:eastAsia="宋体"/>
          <w:szCs w:val="21"/>
        </w:rPr>
        <w:t>工作</w:t>
      </w:r>
      <w:r>
        <w:rPr>
          <w:rFonts w:hint="eastAsia" w:ascii="宋体" w:hAnsi="宋体" w:eastAsia="宋体"/>
          <w:szCs w:val="21"/>
        </w:rPr>
        <w:t>要</w:t>
      </w:r>
      <w:r>
        <w:rPr>
          <w:rFonts w:ascii="宋体" w:hAnsi="宋体" w:eastAsia="宋体"/>
          <w:szCs w:val="21"/>
        </w:rPr>
        <w:t>充分发挥其</w:t>
      </w:r>
      <w:r>
        <w:rPr>
          <w:rFonts w:hint="eastAsia" w:ascii="宋体" w:hAnsi="宋体" w:eastAsia="宋体"/>
          <w:szCs w:val="21"/>
        </w:rPr>
        <w:t>育人</w:t>
      </w:r>
      <w:r>
        <w:rPr>
          <w:rFonts w:ascii="宋体" w:hAnsi="宋体" w:eastAsia="宋体"/>
          <w:szCs w:val="21"/>
        </w:rPr>
        <w:t>功能就必须</w:t>
      </w:r>
      <w:r>
        <w:rPr>
          <w:rFonts w:hint="eastAsia" w:ascii="宋体" w:hAnsi="宋体" w:eastAsia="宋体"/>
          <w:szCs w:val="21"/>
        </w:rPr>
        <w:t>以</w:t>
      </w:r>
      <w:r>
        <w:rPr>
          <w:rFonts w:ascii="宋体" w:hAnsi="宋体" w:eastAsia="宋体"/>
          <w:szCs w:val="21"/>
        </w:rPr>
        <w:t>精准化为原则</w:t>
      </w:r>
      <w:r>
        <w:rPr>
          <w:rFonts w:hint="eastAsia" w:ascii="宋体" w:hAnsi="宋体" w:eastAsia="宋体"/>
          <w:szCs w:val="21"/>
        </w:rPr>
        <w:t>。首先</w:t>
      </w:r>
      <w:r>
        <w:rPr>
          <w:rFonts w:ascii="宋体" w:hAnsi="宋体" w:eastAsia="宋体"/>
          <w:szCs w:val="21"/>
        </w:rPr>
        <w:t>，在家庭经济困难学生认定</w:t>
      </w:r>
      <w:r>
        <w:rPr>
          <w:rFonts w:hint="eastAsia" w:ascii="宋体" w:hAnsi="宋体" w:eastAsia="宋体"/>
          <w:szCs w:val="21"/>
        </w:rPr>
        <w:t>过程</w:t>
      </w:r>
      <w:r>
        <w:rPr>
          <w:rFonts w:ascii="宋体" w:hAnsi="宋体" w:eastAsia="宋体"/>
          <w:szCs w:val="21"/>
        </w:rPr>
        <w:t>中，</w:t>
      </w:r>
      <w:r>
        <w:rPr>
          <w:rFonts w:hint="eastAsia" w:ascii="宋体" w:hAnsi="宋体" w:eastAsia="宋体"/>
          <w:szCs w:val="21"/>
        </w:rPr>
        <w:t>要改变</w:t>
      </w:r>
      <w:r>
        <w:rPr>
          <w:rFonts w:ascii="宋体" w:hAnsi="宋体" w:eastAsia="宋体"/>
          <w:szCs w:val="21"/>
        </w:rPr>
        <w:t>传统的</w:t>
      </w:r>
      <w:r>
        <w:rPr>
          <w:rFonts w:hint="eastAsia" w:ascii="宋体" w:hAnsi="宋体" w:eastAsia="宋体"/>
          <w:szCs w:val="21"/>
        </w:rPr>
        <w:t>认定</w:t>
      </w:r>
      <w:r>
        <w:rPr>
          <w:rFonts w:ascii="宋体" w:hAnsi="宋体" w:eastAsia="宋体"/>
          <w:szCs w:val="21"/>
        </w:rPr>
        <w:t>方式，不再</w:t>
      </w:r>
      <w:r>
        <w:rPr>
          <w:rFonts w:hint="eastAsia" w:ascii="宋体" w:hAnsi="宋体" w:eastAsia="宋体"/>
          <w:szCs w:val="21"/>
        </w:rPr>
        <w:t>仅以</w:t>
      </w:r>
      <w:r>
        <w:rPr>
          <w:rFonts w:ascii="宋体" w:hAnsi="宋体" w:eastAsia="宋体"/>
          <w:szCs w:val="21"/>
        </w:rPr>
        <w:t>学生提供的家庭困难证明</w:t>
      </w:r>
      <w:r>
        <w:rPr>
          <w:rFonts w:hint="eastAsia" w:ascii="宋体" w:hAnsi="宋体" w:eastAsia="宋体"/>
          <w:szCs w:val="21"/>
        </w:rPr>
        <w:t>为</w:t>
      </w:r>
      <w:r>
        <w:rPr>
          <w:rFonts w:ascii="宋体" w:hAnsi="宋体" w:eastAsia="宋体"/>
          <w:szCs w:val="21"/>
        </w:rPr>
        <w:t>依据，</w:t>
      </w:r>
      <w:r>
        <w:rPr>
          <w:rFonts w:hint="eastAsia" w:ascii="宋体" w:hAnsi="宋体" w:eastAsia="宋体"/>
          <w:szCs w:val="21"/>
        </w:rPr>
        <w:t>而是</w:t>
      </w:r>
      <w:r>
        <w:rPr>
          <w:rFonts w:ascii="宋体" w:hAnsi="宋体" w:eastAsia="宋体"/>
          <w:szCs w:val="21"/>
        </w:rPr>
        <w:t>要</w:t>
      </w:r>
      <w:r>
        <w:rPr>
          <w:rFonts w:hint="eastAsia" w:ascii="宋体" w:hAnsi="宋体" w:eastAsia="宋体"/>
          <w:szCs w:val="21"/>
        </w:rPr>
        <w:t>尝试利用</w:t>
      </w:r>
      <w:r>
        <w:rPr>
          <w:rFonts w:ascii="宋体" w:hAnsi="宋体" w:eastAsia="宋体"/>
          <w:szCs w:val="21"/>
        </w:rPr>
        <w:t>大数据技术，</w:t>
      </w:r>
      <w:r>
        <w:rPr>
          <w:rFonts w:hint="eastAsia" w:ascii="宋体" w:hAnsi="宋体" w:eastAsia="宋体"/>
          <w:szCs w:val="21"/>
        </w:rPr>
        <w:t>做到</w:t>
      </w:r>
      <w:r>
        <w:rPr>
          <w:rFonts w:ascii="宋体" w:hAnsi="宋体" w:eastAsia="宋体"/>
          <w:szCs w:val="21"/>
        </w:rPr>
        <w:t>定性与定量</w:t>
      </w:r>
      <w:r>
        <w:rPr>
          <w:rFonts w:hint="eastAsia" w:ascii="宋体" w:hAnsi="宋体" w:eastAsia="宋体"/>
          <w:szCs w:val="21"/>
        </w:rPr>
        <w:t>有机结合</w:t>
      </w:r>
      <w:r>
        <w:rPr>
          <w:rFonts w:ascii="宋体" w:hAnsi="宋体" w:eastAsia="宋体"/>
          <w:szCs w:val="21"/>
        </w:rPr>
        <w:t>，</w:t>
      </w:r>
      <w:r>
        <w:rPr>
          <w:rFonts w:hint="eastAsia" w:ascii="宋体" w:hAnsi="宋体" w:eastAsia="宋体"/>
          <w:szCs w:val="21"/>
        </w:rPr>
        <w:t>保证</w:t>
      </w:r>
      <w:r>
        <w:rPr>
          <w:rFonts w:ascii="宋体" w:hAnsi="宋体" w:eastAsia="宋体"/>
          <w:szCs w:val="21"/>
        </w:rPr>
        <w:t>认定结果精确，</w:t>
      </w:r>
      <w:r>
        <w:rPr>
          <w:rFonts w:hint="eastAsia" w:ascii="宋体" w:hAnsi="宋体" w:eastAsia="宋体"/>
          <w:szCs w:val="21"/>
        </w:rPr>
        <w:t>打牢</w:t>
      </w:r>
      <w:r>
        <w:rPr>
          <w:rFonts w:ascii="宋体" w:hAnsi="宋体" w:eastAsia="宋体"/>
          <w:szCs w:val="21"/>
        </w:rPr>
        <w:t>资助工作开展的基础。</w:t>
      </w:r>
      <w:r>
        <w:rPr>
          <w:rFonts w:hint="eastAsia" w:ascii="宋体" w:hAnsi="宋体" w:eastAsia="宋体"/>
          <w:szCs w:val="21"/>
        </w:rPr>
        <w:t>其次</w:t>
      </w:r>
      <w:r>
        <w:rPr>
          <w:rFonts w:ascii="宋体" w:hAnsi="宋体" w:eastAsia="宋体"/>
          <w:szCs w:val="21"/>
        </w:rPr>
        <w:t>，高校应经常性开展调研活动，确定</w:t>
      </w:r>
      <w:r>
        <w:rPr>
          <w:rFonts w:hint="eastAsia" w:ascii="宋体" w:hAnsi="宋体" w:eastAsia="宋体"/>
          <w:szCs w:val="21"/>
        </w:rPr>
        <w:t>受助学生</w:t>
      </w:r>
      <w:r>
        <w:rPr>
          <w:rFonts w:ascii="宋体" w:hAnsi="宋体" w:eastAsia="宋体"/>
          <w:szCs w:val="21"/>
        </w:rPr>
        <w:t>的基本生活需求是否</w:t>
      </w:r>
      <w:r>
        <w:rPr>
          <w:rFonts w:hint="eastAsia" w:ascii="宋体" w:hAnsi="宋体" w:eastAsia="宋体"/>
          <w:szCs w:val="21"/>
        </w:rPr>
        <w:t>能够</w:t>
      </w:r>
      <w:r>
        <w:rPr>
          <w:rFonts w:ascii="宋体" w:hAnsi="宋体" w:eastAsia="宋体"/>
          <w:szCs w:val="21"/>
        </w:rPr>
        <w:t>得到保障，</w:t>
      </w:r>
      <w:r>
        <w:rPr>
          <w:rFonts w:hint="eastAsia" w:ascii="宋体" w:hAnsi="宋体" w:eastAsia="宋体"/>
          <w:szCs w:val="21"/>
        </w:rPr>
        <w:t>完善各类</w:t>
      </w:r>
      <w:r>
        <w:rPr>
          <w:rFonts w:ascii="宋体" w:hAnsi="宋体" w:eastAsia="宋体"/>
          <w:szCs w:val="21"/>
        </w:rPr>
        <w:t>奖助学金的发放体系，同时</w:t>
      </w:r>
      <w:r>
        <w:rPr>
          <w:rFonts w:hint="eastAsia" w:ascii="宋体" w:hAnsi="宋体" w:eastAsia="宋体"/>
          <w:szCs w:val="21"/>
        </w:rPr>
        <w:t>构建</w:t>
      </w:r>
      <w:r>
        <w:rPr>
          <w:rFonts w:ascii="宋体" w:hAnsi="宋体" w:eastAsia="宋体"/>
          <w:szCs w:val="21"/>
        </w:rPr>
        <w:t>勤工助学、特困生临时生活补助等辅助</w:t>
      </w:r>
      <w:r>
        <w:rPr>
          <w:rFonts w:hint="eastAsia" w:ascii="宋体" w:hAnsi="宋体" w:eastAsia="宋体"/>
          <w:szCs w:val="21"/>
        </w:rPr>
        <w:t>办法。</w:t>
      </w:r>
      <w:r>
        <w:rPr>
          <w:rFonts w:ascii="宋体" w:hAnsi="宋体" w:eastAsia="宋体"/>
          <w:szCs w:val="21"/>
        </w:rPr>
        <w:t>最后，在困难生认定、奖助学金发放时，应</w:t>
      </w:r>
      <w:r>
        <w:rPr>
          <w:rFonts w:hint="eastAsia" w:ascii="宋体" w:hAnsi="宋体" w:eastAsia="宋体"/>
          <w:szCs w:val="21"/>
        </w:rPr>
        <w:t>特别</w:t>
      </w:r>
      <w:r>
        <w:rPr>
          <w:rFonts w:ascii="宋体" w:hAnsi="宋体" w:eastAsia="宋体"/>
          <w:szCs w:val="21"/>
        </w:rPr>
        <w:t>注重对</w:t>
      </w:r>
      <w:r>
        <w:rPr>
          <w:rFonts w:hint="eastAsia" w:ascii="宋体" w:hAnsi="宋体" w:eastAsia="宋体"/>
          <w:szCs w:val="21"/>
        </w:rPr>
        <w:t>受助</w:t>
      </w:r>
      <w:r>
        <w:rPr>
          <w:rFonts w:ascii="宋体" w:hAnsi="宋体" w:eastAsia="宋体"/>
          <w:szCs w:val="21"/>
        </w:rPr>
        <w:t>学生隐私的保护，杜绝学生在公开场所比困、诉苦。</w:t>
      </w:r>
    </w:p>
    <w:p>
      <w:pPr>
        <w:spacing w:line="400" w:lineRule="exact"/>
        <w:ind w:firstLine="422" w:firstLineChars="200"/>
        <w:rPr>
          <w:rFonts w:ascii="宋体" w:hAnsi="宋体" w:eastAsia="宋体"/>
          <w:b/>
          <w:szCs w:val="21"/>
        </w:rPr>
      </w:pPr>
      <w:r>
        <w:rPr>
          <w:rFonts w:hint="eastAsia" w:ascii="宋体" w:hAnsi="宋体" w:eastAsia="宋体"/>
          <w:b/>
          <w:szCs w:val="21"/>
        </w:rPr>
        <w:t>（二）坚持</w:t>
      </w:r>
      <w:r>
        <w:rPr>
          <w:rFonts w:ascii="宋体" w:hAnsi="宋体" w:eastAsia="宋体"/>
          <w:b/>
          <w:szCs w:val="21"/>
        </w:rPr>
        <w:t>精</w:t>
      </w:r>
      <w:r>
        <w:rPr>
          <w:rFonts w:hint="eastAsia" w:ascii="宋体" w:hAnsi="宋体" w:eastAsia="宋体"/>
          <w:b/>
          <w:szCs w:val="21"/>
        </w:rPr>
        <w:t>心</w:t>
      </w:r>
      <w:r>
        <w:rPr>
          <w:rFonts w:ascii="宋体" w:hAnsi="宋体" w:eastAsia="宋体"/>
          <w:b/>
          <w:szCs w:val="21"/>
        </w:rPr>
        <w:t>化培养</w:t>
      </w:r>
      <w:r>
        <w:rPr>
          <w:rFonts w:hint="eastAsia" w:ascii="宋体" w:hAnsi="宋体" w:eastAsia="宋体"/>
          <w:b/>
          <w:szCs w:val="21"/>
        </w:rPr>
        <w:t>学生</w:t>
      </w:r>
    </w:p>
    <w:p>
      <w:pPr>
        <w:spacing w:line="400" w:lineRule="exact"/>
        <w:ind w:firstLine="420" w:firstLineChars="200"/>
        <w:rPr>
          <w:rFonts w:ascii="宋体" w:hAnsi="宋体" w:eastAsia="宋体"/>
          <w:sz w:val="24"/>
          <w:szCs w:val="24"/>
        </w:rPr>
      </w:pPr>
      <w:r>
        <w:rPr>
          <w:rFonts w:hint="eastAsia" w:ascii="宋体" w:hAnsi="宋体" w:eastAsia="宋体"/>
          <w:szCs w:val="21"/>
        </w:rPr>
        <w:t>要实现“保障型</w:t>
      </w:r>
      <w:r>
        <w:rPr>
          <w:rFonts w:ascii="宋体" w:hAnsi="宋体" w:eastAsia="宋体"/>
          <w:szCs w:val="21"/>
        </w:rPr>
        <w:t>资助</w:t>
      </w:r>
      <w:r>
        <w:rPr>
          <w:rFonts w:hint="eastAsia" w:ascii="宋体" w:hAnsi="宋体" w:eastAsia="宋体"/>
          <w:szCs w:val="21"/>
        </w:rPr>
        <w:t>”</w:t>
      </w:r>
      <w:r>
        <w:rPr>
          <w:rFonts w:ascii="宋体" w:hAnsi="宋体" w:eastAsia="宋体"/>
          <w:szCs w:val="21"/>
        </w:rPr>
        <w:t>到</w:t>
      </w:r>
      <w:r>
        <w:rPr>
          <w:rFonts w:hint="eastAsia" w:ascii="宋体" w:hAnsi="宋体" w:eastAsia="宋体"/>
          <w:szCs w:val="21"/>
        </w:rPr>
        <w:t>“</w:t>
      </w:r>
      <w:r>
        <w:rPr>
          <w:rFonts w:ascii="宋体" w:hAnsi="宋体" w:eastAsia="宋体"/>
          <w:szCs w:val="21"/>
        </w:rPr>
        <w:t>发展型资助</w:t>
      </w:r>
      <w:r>
        <w:rPr>
          <w:rFonts w:hint="eastAsia" w:ascii="宋体" w:hAnsi="宋体" w:eastAsia="宋体"/>
          <w:szCs w:val="21"/>
        </w:rPr>
        <w:t>”</w:t>
      </w:r>
      <w:r>
        <w:rPr>
          <w:rFonts w:ascii="宋体" w:hAnsi="宋体" w:eastAsia="宋体"/>
          <w:szCs w:val="21"/>
        </w:rPr>
        <w:t>的转变，</w:t>
      </w:r>
      <w:r>
        <w:rPr>
          <w:rFonts w:hint="eastAsia" w:ascii="宋体" w:hAnsi="宋体" w:eastAsia="宋体"/>
          <w:szCs w:val="21"/>
        </w:rPr>
        <w:t>必须</w:t>
      </w:r>
      <w:r>
        <w:rPr>
          <w:rFonts w:ascii="宋体" w:hAnsi="宋体" w:eastAsia="宋体"/>
          <w:szCs w:val="21"/>
        </w:rPr>
        <w:t>把受助学生</w:t>
      </w:r>
      <w:r>
        <w:rPr>
          <w:rFonts w:hint="eastAsia" w:ascii="宋体" w:hAnsi="宋体" w:eastAsia="宋体"/>
          <w:szCs w:val="21"/>
        </w:rPr>
        <w:t>成长</w:t>
      </w:r>
      <w:r>
        <w:rPr>
          <w:rFonts w:ascii="宋体" w:hAnsi="宋体" w:eastAsia="宋体"/>
          <w:szCs w:val="21"/>
        </w:rPr>
        <w:t>成才作为核心</w:t>
      </w:r>
      <w:r>
        <w:rPr>
          <w:rFonts w:hint="eastAsia" w:ascii="宋体" w:hAnsi="宋体" w:eastAsia="宋体"/>
          <w:szCs w:val="21"/>
        </w:rPr>
        <w:t>。</w:t>
      </w:r>
      <w:r>
        <w:rPr>
          <w:rFonts w:ascii="宋体" w:hAnsi="宋体" w:eastAsia="宋体"/>
          <w:szCs w:val="21"/>
        </w:rPr>
        <w:t>第一，丰富育人活动内涵。</w:t>
      </w:r>
      <w:r>
        <w:rPr>
          <w:rFonts w:hint="eastAsia" w:ascii="宋体" w:hAnsi="宋体" w:eastAsia="宋体"/>
          <w:szCs w:val="21"/>
        </w:rPr>
        <w:t>受助</w:t>
      </w:r>
      <w:r>
        <w:rPr>
          <w:rFonts w:ascii="宋体" w:hAnsi="宋体" w:eastAsia="宋体"/>
          <w:szCs w:val="21"/>
        </w:rPr>
        <w:t>学生是育人工作的对象</w:t>
      </w:r>
      <w:r>
        <w:rPr>
          <w:rFonts w:hint="eastAsia" w:ascii="宋体" w:hAnsi="宋体" w:eastAsia="宋体"/>
          <w:szCs w:val="21"/>
        </w:rPr>
        <w:t>和</w:t>
      </w:r>
      <w:r>
        <w:rPr>
          <w:rFonts w:ascii="宋体" w:hAnsi="宋体" w:eastAsia="宋体"/>
          <w:szCs w:val="21"/>
        </w:rPr>
        <w:t>参与主体</w:t>
      </w:r>
      <w:r>
        <w:rPr>
          <w:rFonts w:hint="eastAsia" w:ascii="宋体" w:hAnsi="宋体" w:eastAsia="宋体"/>
          <w:szCs w:val="21"/>
        </w:rPr>
        <w:t>，各项</w:t>
      </w:r>
      <w:r>
        <w:rPr>
          <w:rFonts w:ascii="宋体" w:hAnsi="宋体" w:eastAsia="宋体"/>
          <w:szCs w:val="21"/>
        </w:rPr>
        <w:t>育人措施</w:t>
      </w:r>
      <w:r>
        <w:rPr>
          <w:rFonts w:hint="eastAsia" w:ascii="宋体" w:hAnsi="宋体" w:eastAsia="宋体"/>
          <w:szCs w:val="21"/>
        </w:rPr>
        <w:t>应该</w:t>
      </w:r>
      <w:r>
        <w:rPr>
          <w:rFonts w:ascii="宋体" w:hAnsi="宋体" w:eastAsia="宋体"/>
          <w:szCs w:val="21"/>
        </w:rPr>
        <w:t>适应</w:t>
      </w:r>
      <w:r>
        <w:rPr>
          <w:rFonts w:hint="eastAsia" w:ascii="宋体" w:hAnsi="宋体" w:eastAsia="宋体"/>
          <w:szCs w:val="21"/>
        </w:rPr>
        <w:t>新时期</w:t>
      </w:r>
      <w:r>
        <w:rPr>
          <w:rFonts w:ascii="宋体" w:hAnsi="宋体" w:eastAsia="宋体"/>
          <w:szCs w:val="21"/>
        </w:rPr>
        <w:t>大学生的心理特点，</w:t>
      </w:r>
      <w:r>
        <w:rPr>
          <w:rFonts w:hint="eastAsia" w:ascii="宋体" w:hAnsi="宋体" w:eastAsia="宋体"/>
          <w:szCs w:val="21"/>
        </w:rPr>
        <w:t>改变</w:t>
      </w:r>
      <w:r>
        <w:rPr>
          <w:rFonts w:ascii="宋体" w:hAnsi="宋体" w:eastAsia="宋体"/>
          <w:szCs w:val="21"/>
        </w:rPr>
        <w:t>原有的灌输</w:t>
      </w:r>
      <w:r>
        <w:rPr>
          <w:rFonts w:hint="eastAsia" w:ascii="宋体" w:hAnsi="宋体" w:eastAsia="宋体"/>
          <w:szCs w:val="21"/>
        </w:rPr>
        <w:t>育人方式</w:t>
      </w:r>
      <w:r>
        <w:rPr>
          <w:rFonts w:ascii="宋体" w:hAnsi="宋体" w:eastAsia="宋体"/>
          <w:szCs w:val="21"/>
        </w:rPr>
        <w:t>，精心设计各类</w:t>
      </w:r>
      <w:r>
        <w:rPr>
          <w:rFonts w:hint="eastAsia" w:ascii="宋体" w:hAnsi="宋体" w:eastAsia="宋体"/>
          <w:szCs w:val="21"/>
        </w:rPr>
        <w:t>资助</w:t>
      </w:r>
      <w:r>
        <w:rPr>
          <w:rFonts w:ascii="宋体" w:hAnsi="宋体" w:eastAsia="宋体"/>
          <w:szCs w:val="21"/>
        </w:rPr>
        <w:t>育人活动内容，</w:t>
      </w:r>
      <w:r>
        <w:rPr>
          <w:rFonts w:hint="eastAsia" w:ascii="宋体" w:hAnsi="宋体" w:eastAsia="宋体"/>
          <w:szCs w:val="21"/>
        </w:rPr>
        <w:t>提高</w:t>
      </w:r>
      <w:r>
        <w:rPr>
          <w:rFonts w:ascii="宋体" w:hAnsi="宋体" w:eastAsia="宋体"/>
          <w:szCs w:val="21"/>
        </w:rPr>
        <w:t>学生主动参与</w:t>
      </w:r>
      <w:r>
        <w:rPr>
          <w:rFonts w:hint="eastAsia" w:ascii="宋体" w:hAnsi="宋体" w:eastAsia="宋体"/>
          <w:szCs w:val="21"/>
        </w:rPr>
        <w:t>积极性</w:t>
      </w:r>
      <w:r>
        <w:rPr>
          <w:rFonts w:ascii="宋体" w:hAnsi="宋体" w:eastAsia="宋体"/>
          <w:szCs w:val="21"/>
        </w:rPr>
        <w:t>。第二，注重受助学生</w:t>
      </w:r>
      <w:r>
        <w:rPr>
          <w:rFonts w:hint="eastAsia" w:ascii="宋体" w:hAnsi="宋体" w:eastAsia="宋体"/>
          <w:szCs w:val="21"/>
        </w:rPr>
        <w:t>心理</w:t>
      </w:r>
      <w:r>
        <w:rPr>
          <w:rFonts w:ascii="宋体" w:hAnsi="宋体" w:eastAsia="宋体"/>
          <w:szCs w:val="21"/>
        </w:rPr>
        <w:t>关怀。</w:t>
      </w:r>
      <w:r>
        <w:rPr>
          <w:rFonts w:hint="eastAsia" w:ascii="宋体" w:hAnsi="宋体" w:eastAsia="宋体"/>
          <w:szCs w:val="21"/>
        </w:rPr>
        <w:t>由于承受</w:t>
      </w:r>
      <w:r>
        <w:rPr>
          <w:rFonts w:ascii="宋体" w:hAnsi="宋体" w:eastAsia="宋体"/>
          <w:szCs w:val="21"/>
        </w:rPr>
        <w:t>着</w:t>
      </w:r>
      <w:r>
        <w:rPr>
          <w:rFonts w:hint="eastAsia" w:ascii="宋体" w:hAnsi="宋体" w:eastAsia="宋体"/>
          <w:szCs w:val="21"/>
        </w:rPr>
        <w:t>来自</w:t>
      </w:r>
      <w:r>
        <w:rPr>
          <w:rFonts w:ascii="宋体" w:hAnsi="宋体" w:eastAsia="宋体"/>
          <w:szCs w:val="21"/>
        </w:rPr>
        <w:t>家庭和朋辈群体的</w:t>
      </w:r>
      <w:r>
        <w:rPr>
          <w:rFonts w:hint="eastAsia" w:ascii="宋体" w:hAnsi="宋体" w:eastAsia="宋体"/>
          <w:szCs w:val="21"/>
        </w:rPr>
        <w:t>压力</w:t>
      </w:r>
      <w:r>
        <w:rPr>
          <w:rFonts w:ascii="宋体" w:hAnsi="宋体" w:eastAsia="宋体"/>
          <w:szCs w:val="21"/>
        </w:rPr>
        <w:t>，受助学生</w:t>
      </w:r>
      <w:r>
        <w:rPr>
          <w:rFonts w:hint="eastAsia" w:ascii="宋体" w:hAnsi="宋体" w:eastAsia="宋体"/>
          <w:szCs w:val="21"/>
        </w:rPr>
        <w:t>往往</w:t>
      </w:r>
      <w:r>
        <w:rPr>
          <w:rFonts w:ascii="宋体" w:hAnsi="宋体" w:eastAsia="宋体"/>
          <w:szCs w:val="21"/>
        </w:rPr>
        <w:t>较为敏感，自卑心理</w:t>
      </w:r>
      <w:r>
        <w:rPr>
          <w:rFonts w:hint="eastAsia" w:ascii="宋体" w:hAnsi="宋体" w:eastAsia="宋体"/>
          <w:szCs w:val="21"/>
        </w:rPr>
        <w:t>和</w:t>
      </w:r>
      <w:r>
        <w:rPr>
          <w:rFonts w:ascii="宋体" w:hAnsi="宋体" w:eastAsia="宋体"/>
          <w:szCs w:val="21"/>
        </w:rPr>
        <w:t>人际交往障碍经常存在</w:t>
      </w:r>
      <w:r>
        <w:rPr>
          <w:rFonts w:hint="eastAsia" w:ascii="宋体" w:hAnsi="宋体" w:eastAsia="宋体"/>
          <w:szCs w:val="21"/>
        </w:rPr>
        <w:t>。</w:t>
      </w:r>
      <w:r>
        <w:rPr>
          <w:rFonts w:ascii="宋体" w:hAnsi="宋体" w:eastAsia="宋体"/>
          <w:szCs w:val="21"/>
        </w:rPr>
        <w:t>为此，</w:t>
      </w:r>
      <w:r>
        <w:rPr>
          <w:rFonts w:hint="eastAsia" w:ascii="宋体" w:hAnsi="宋体" w:eastAsia="宋体"/>
          <w:szCs w:val="21"/>
        </w:rPr>
        <w:t>建立</w:t>
      </w:r>
      <w:r>
        <w:rPr>
          <w:rFonts w:ascii="宋体" w:hAnsi="宋体" w:eastAsia="宋体"/>
          <w:szCs w:val="21"/>
        </w:rPr>
        <w:t>心理测评、</w:t>
      </w:r>
      <w:r>
        <w:rPr>
          <w:rFonts w:hint="eastAsia" w:ascii="宋体" w:hAnsi="宋体" w:eastAsia="宋体"/>
          <w:szCs w:val="21"/>
        </w:rPr>
        <w:t>咨询疏导</w:t>
      </w:r>
      <w:r>
        <w:rPr>
          <w:rFonts w:ascii="宋体" w:hAnsi="宋体" w:eastAsia="宋体"/>
          <w:szCs w:val="21"/>
        </w:rPr>
        <w:t>、</w:t>
      </w:r>
      <w:r>
        <w:rPr>
          <w:rFonts w:hint="eastAsia" w:ascii="宋体" w:hAnsi="宋体" w:eastAsia="宋体"/>
          <w:szCs w:val="21"/>
        </w:rPr>
        <w:t>预防</w:t>
      </w:r>
      <w:r>
        <w:rPr>
          <w:rFonts w:ascii="宋体" w:hAnsi="宋体" w:eastAsia="宋体"/>
          <w:szCs w:val="21"/>
        </w:rPr>
        <w:t>干预的心理帮扶体系，对于资助育人</w:t>
      </w:r>
      <w:r>
        <w:rPr>
          <w:rFonts w:hint="eastAsia" w:ascii="宋体" w:hAnsi="宋体" w:eastAsia="宋体"/>
          <w:szCs w:val="21"/>
        </w:rPr>
        <w:t>工作</w:t>
      </w:r>
      <w:r>
        <w:rPr>
          <w:rFonts w:ascii="宋体" w:hAnsi="宋体" w:eastAsia="宋体"/>
          <w:szCs w:val="21"/>
        </w:rPr>
        <w:t>效果的提升具有十分重要的意义。第三，</w:t>
      </w:r>
      <w:r>
        <w:rPr>
          <w:rFonts w:hint="eastAsia" w:ascii="宋体" w:hAnsi="宋体" w:eastAsia="宋体"/>
          <w:szCs w:val="21"/>
        </w:rPr>
        <w:t>提升学生</w:t>
      </w:r>
      <w:r>
        <w:rPr>
          <w:rFonts w:ascii="宋体" w:hAnsi="宋体" w:eastAsia="宋体"/>
          <w:szCs w:val="21"/>
        </w:rPr>
        <w:t>综合素质</w:t>
      </w:r>
      <w:r>
        <w:rPr>
          <w:rFonts w:hint="eastAsia" w:ascii="宋体" w:hAnsi="宋体" w:eastAsia="宋体"/>
          <w:szCs w:val="21"/>
        </w:rPr>
        <w:t>。教育</w:t>
      </w:r>
      <w:r>
        <w:rPr>
          <w:rFonts w:ascii="宋体" w:hAnsi="宋体" w:eastAsia="宋体"/>
          <w:szCs w:val="21"/>
        </w:rPr>
        <w:t>扶贫是国家脱贫攻坚的重要战略，</w:t>
      </w:r>
      <w:r>
        <w:rPr>
          <w:rFonts w:hint="eastAsia" w:ascii="宋体" w:hAnsi="宋体" w:eastAsia="宋体"/>
          <w:szCs w:val="21"/>
        </w:rPr>
        <w:t>而受助</w:t>
      </w:r>
      <w:r>
        <w:rPr>
          <w:rFonts w:ascii="宋体" w:hAnsi="宋体" w:eastAsia="宋体"/>
          <w:szCs w:val="21"/>
        </w:rPr>
        <w:t>学生</w:t>
      </w:r>
      <w:r>
        <w:rPr>
          <w:rFonts w:hint="eastAsia" w:ascii="宋体" w:hAnsi="宋体" w:eastAsia="宋体"/>
          <w:szCs w:val="21"/>
        </w:rPr>
        <w:t>能够</w:t>
      </w:r>
      <w:r>
        <w:rPr>
          <w:rFonts w:ascii="宋体" w:hAnsi="宋体" w:eastAsia="宋体"/>
          <w:szCs w:val="21"/>
        </w:rPr>
        <w:t>成长成才</w:t>
      </w:r>
      <w:r>
        <w:rPr>
          <w:rFonts w:hint="eastAsia" w:ascii="宋体" w:hAnsi="宋体" w:eastAsia="宋体"/>
          <w:szCs w:val="21"/>
        </w:rPr>
        <w:t>则</w:t>
      </w:r>
      <w:r>
        <w:rPr>
          <w:rFonts w:ascii="宋体" w:hAnsi="宋体" w:eastAsia="宋体"/>
          <w:szCs w:val="21"/>
        </w:rPr>
        <w:t>是阻断贫困</w:t>
      </w:r>
      <w:r>
        <w:rPr>
          <w:rFonts w:hint="eastAsia" w:ascii="宋体" w:hAnsi="宋体" w:eastAsia="宋体"/>
          <w:szCs w:val="21"/>
        </w:rPr>
        <w:t>家庭</w:t>
      </w:r>
      <w:r>
        <w:rPr>
          <w:rFonts w:ascii="宋体" w:hAnsi="宋体" w:eastAsia="宋体"/>
          <w:szCs w:val="21"/>
        </w:rPr>
        <w:t>隔代传递的关键</w:t>
      </w:r>
      <w:r>
        <w:rPr>
          <w:rFonts w:hint="eastAsia" w:ascii="宋体" w:hAnsi="宋体" w:eastAsia="宋体"/>
          <w:szCs w:val="21"/>
        </w:rPr>
        <w:t>，</w:t>
      </w:r>
      <w:r>
        <w:rPr>
          <w:rFonts w:ascii="宋体" w:hAnsi="宋体" w:eastAsia="宋体"/>
          <w:szCs w:val="21"/>
        </w:rPr>
        <w:t>因此，资助育人工作</w:t>
      </w:r>
      <w:r>
        <w:rPr>
          <w:rFonts w:hint="eastAsia" w:ascii="宋体" w:hAnsi="宋体" w:eastAsia="宋体"/>
          <w:szCs w:val="21"/>
        </w:rPr>
        <w:t>开展</w:t>
      </w:r>
      <w:r>
        <w:rPr>
          <w:rFonts w:ascii="宋体" w:hAnsi="宋体" w:eastAsia="宋体"/>
          <w:szCs w:val="21"/>
        </w:rPr>
        <w:t>过程中要精心</w:t>
      </w:r>
      <w:r>
        <w:rPr>
          <w:rFonts w:hint="eastAsia" w:ascii="宋体" w:hAnsi="宋体" w:eastAsia="宋体"/>
          <w:szCs w:val="21"/>
        </w:rPr>
        <w:t>提升</w:t>
      </w:r>
      <w:r>
        <w:rPr>
          <w:rFonts w:ascii="宋体" w:hAnsi="宋体" w:eastAsia="宋体"/>
          <w:szCs w:val="21"/>
        </w:rPr>
        <w:t>学生的各项素质能力</w:t>
      </w:r>
      <w:r>
        <w:rPr>
          <w:rFonts w:hint="eastAsia" w:ascii="宋体" w:hAnsi="宋体" w:eastAsia="宋体"/>
          <w:szCs w:val="21"/>
        </w:rPr>
        <w:t>。</w:t>
      </w:r>
      <w:r>
        <w:rPr>
          <w:rFonts w:ascii="宋体" w:hAnsi="宋体" w:eastAsia="宋体"/>
          <w:szCs w:val="21"/>
        </w:rPr>
        <w:t>通过学业</w:t>
      </w:r>
      <w:r>
        <w:rPr>
          <w:rFonts w:hint="eastAsia" w:ascii="宋体" w:hAnsi="宋体" w:eastAsia="宋体"/>
          <w:szCs w:val="21"/>
        </w:rPr>
        <w:t>帮扶</w:t>
      </w:r>
      <w:r>
        <w:rPr>
          <w:rFonts w:ascii="宋体" w:hAnsi="宋体" w:eastAsia="宋体"/>
          <w:szCs w:val="21"/>
        </w:rPr>
        <w:t>、</w:t>
      </w:r>
      <w:r>
        <w:rPr>
          <w:rFonts w:hint="eastAsia" w:ascii="宋体" w:hAnsi="宋体" w:eastAsia="宋体"/>
          <w:szCs w:val="21"/>
        </w:rPr>
        <w:t>参与</w:t>
      </w:r>
      <w:r>
        <w:rPr>
          <w:rFonts w:ascii="宋体" w:hAnsi="宋体" w:eastAsia="宋体"/>
          <w:szCs w:val="21"/>
        </w:rPr>
        <w:t>竞赛、就业指导</w:t>
      </w:r>
      <w:r>
        <w:rPr>
          <w:rFonts w:hint="eastAsia" w:ascii="宋体" w:hAnsi="宋体" w:eastAsia="宋体"/>
          <w:szCs w:val="21"/>
        </w:rPr>
        <w:t>等</w:t>
      </w:r>
      <w:r>
        <w:rPr>
          <w:rFonts w:ascii="宋体" w:hAnsi="宋体" w:eastAsia="宋体"/>
          <w:szCs w:val="21"/>
        </w:rPr>
        <w:t>途径，</w:t>
      </w:r>
      <w:r>
        <w:rPr>
          <w:rFonts w:hint="eastAsia" w:ascii="宋体" w:hAnsi="宋体" w:eastAsia="宋体"/>
          <w:szCs w:val="21"/>
        </w:rPr>
        <w:t>使</w:t>
      </w:r>
      <w:r>
        <w:rPr>
          <w:rFonts w:ascii="宋体" w:hAnsi="宋体" w:eastAsia="宋体"/>
          <w:szCs w:val="21"/>
        </w:rPr>
        <w:t>受助学生能够在激烈的竞争中获得优势，</w:t>
      </w:r>
      <w:r>
        <w:rPr>
          <w:rFonts w:hint="eastAsia" w:ascii="宋体" w:hAnsi="宋体" w:eastAsia="宋体"/>
          <w:szCs w:val="21"/>
        </w:rPr>
        <w:t>有能力承担</w:t>
      </w:r>
      <w:r>
        <w:rPr>
          <w:rFonts w:ascii="宋体" w:hAnsi="宋体" w:eastAsia="宋体"/>
          <w:szCs w:val="21"/>
        </w:rPr>
        <w:t>社会和家庭责任。第四，培养受助学生的诚信意识和感恩意识。</w:t>
      </w:r>
      <w:r>
        <w:rPr>
          <w:rFonts w:hint="eastAsia" w:ascii="宋体" w:hAnsi="宋体" w:eastAsia="宋体"/>
          <w:szCs w:val="21"/>
        </w:rPr>
        <w:t>习总书记</w:t>
      </w:r>
      <w:r>
        <w:rPr>
          <w:rFonts w:ascii="宋体" w:hAnsi="宋体" w:eastAsia="宋体"/>
          <w:szCs w:val="21"/>
        </w:rPr>
        <w:t>在全国教育大会上强调，“</w:t>
      </w:r>
      <w:r>
        <w:rPr>
          <w:rFonts w:hint="eastAsia" w:ascii="宋体" w:hAnsi="宋体" w:eastAsia="宋体"/>
          <w:szCs w:val="21"/>
        </w:rPr>
        <w:t>培养什么人</w:t>
      </w:r>
      <w:r>
        <w:rPr>
          <w:rFonts w:ascii="宋体" w:hAnsi="宋体" w:eastAsia="宋体"/>
          <w:szCs w:val="21"/>
        </w:rPr>
        <w:t>”</w:t>
      </w:r>
      <w:r>
        <w:rPr>
          <w:rFonts w:hint="eastAsia" w:ascii="宋体" w:hAnsi="宋体" w:eastAsia="宋体"/>
          <w:szCs w:val="21"/>
        </w:rPr>
        <w:t>是</w:t>
      </w:r>
      <w:r>
        <w:rPr>
          <w:rFonts w:ascii="宋体" w:hAnsi="宋体" w:eastAsia="宋体"/>
          <w:szCs w:val="21"/>
        </w:rPr>
        <w:t>教育的首要</w:t>
      </w:r>
      <w:r>
        <w:rPr>
          <w:rFonts w:hint="eastAsia" w:ascii="宋体" w:hAnsi="宋体" w:eastAsia="宋体"/>
          <w:szCs w:val="21"/>
        </w:rPr>
        <w:t>问题。</w:t>
      </w:r>
      <w:r>
        <w:rPr>
          <w:rFonts w:ascii="宋体" w:hAnsi="宋体" w:eastAsia="宋体"/>
          <w:szCs w:val="21"/>
        </w:rPr>
        <w:t>资助育人作为</w:t>
      </w:r>
      <w:r>
        <w:rPr>
          <w:rFonts w:hint="eastAsia" w:ascii="宋体" w:hAnsi="宋体" w:eastAsia="宋体"/>
          <w:szCs w:val="21"/>
        </w:rPr>
        <w:t>大学生</w:t>
      </w:r>
      <w:r>
        <w:rPr>
          <w:rFonts w:ascii="宋体" w:hAnsi="宋体" w:eastAsia="宋体"/>
          <w:szCs w:val="21"/>
        </w:rPr>
        <w:t>思想政治教育的重要环节，也必须</w:t>
      </w:r>
      <w:r>
        <w:rPr>
          <w:rFonts w:hint="eastAsia" w:ascii="宋体" w:hAnsi="宋体" w:eastAsia="宋体"/>
          <w:szCs w:val="21"/>
        </w:rPr>
        <w:t>理清“培养什么</w:t>
      </w:r>
      <w:r>
        <w:rPr>
          <w:rFonts w:ascii="宋体" w:hAnsi="宋体" w:eastAsia="宋体"/>
          <w:szCs w:val="21"/>
        </w:rPr>
        <w:t>人</w:t>
      </w:r>
      <w:r>
        <w:rPr>
          <w:rFonts w:hint="eastAsia" w:ascii="宋体" w:hAnsi="宋体" w:eastAsia="宋体"/>
          <w:szCs w:val="21"/>
        </w:rPr>
        <w:t>”</w:t>
      </w:r>
      <w:r>
        <w:rPr>
          <w:rFonts w:ascii="宋体" w:hAnsi="宋体" w:eastAsia="宋体"/>
          <w:szCs w:val="21"/>
        </w:rPr>
        <w:t>这个问题</w:t>
      </w:r>
      <w:r>
        <w:rPr>
          <w:rFonts w:hint="eastAsia" w:ascii="宋体" w:hAnsi="宋体" w:eastAsia="宋体"/>
          <w:szCs w:val="21"/>
        </w:rPr>
        <w:t>，</w:t>
      </w:r>
      <w:r>
        <w:rPr>
          <w:rFonts w:ascii="宋体" w:hAnsi="宋体" w:eastAsia="宋体"/>
          <w:szCs w:val="21"/>
        </w:rPr>
        <w:t>资助育人工作应该重视</w:t>
      </w:r>
      <w:r>
        <w:rPr>
          <w:rFonts w:hint="eastAsia" w:ascii="宋体" w:hAnsi="宋体" w:eastAsia="宋体"/>
          <w:szCs w:val="21"/>
        </w:rPr>
        <w:t>受助学生高尚</w:t>
      </w:r>
      <w:r>
        <w:rPr>
          <w:rFonts w:ascii="宋体" w:hAnsi="宋体" w:eastAsia="宋体"/>
          <w:szCs w:val="21"/>
        </w:rPr>
        <w:t>人格的塑造</w:t>
      </w:r>
      <w:r>
        <w:rPr>
          <w:rFonts w:hint="eastAsia" w:ascii="宋体" w:hAnsi="宋体" w:eastAsia="宋体"/>
          <w:szCs w:val="21"/>
        </w:rPr>
        <w:t>，以及诚信意识</w:t>
      </w:r>
      <w:r>
        <w:rPr>
          <w:rFonts w:ascii="宋体" w:hAnsi="宋体" w:eastAsia="宋体"/>
          <w:szCs w:val="21"/>
        </w:rPr>
        <w:t>和感恩意识</w:t>
      </w:r>
      <w:r>
        <w:rPr>
          <w:rFonts w:hint="eastAsia" w:ascii="宋体" w:hAnsi="宋体" w:eastAsia="宋体"/>
          <w:szCs w:val="21"/>
        </w:rPr>
        <w:t>的</w:t>
      </w:r>
      <w:r>
        <w:rPr>
          <w:rFonts w:ascii="宋体" w:hAnsi="宋体" w:eastAsia="宋体"/>
          <w:szCs w:val="21"/>
        </w:rPr>
        <w:t>培养。</w:t>
      </w:r>
    </w:p>
    <w:p>
      <w:pPr>
        <w:spacing w:line="400" w:lineRule="exact"/>
        <w:ind w:firstLine="422" w:firstLineChars="200"/>
        <w:rPr>
          <w:rFonts w:ascii="宋体" w:hAnsi="宋体" w:eastAsia="宋体"/>
          <w:b/>
          <w:szCs w:val="21"/>
        </w:rPr>
      </w:pPr>
      <w:r>
        <w:rPr>
          <w:rFonts w:hint="eastAsia" w:ascii="宋体" w:hAnsi="宋体" w:eastAsia="宋体"/>
          <w:b/>
          <w:szCs w:val="21"/>
        </w:rPr>
        <w:t>（三）坚持</w:t>
      </w:r>
      <w:r>
        <w:rPr>
          <w:rFonts w:ascii="宋体" w:hAnsi="宋体" w:eastAsia="宋体"/>
          <w:b/>
          <w:szCs w:val="21"/>
        </w:rPr>
        <w:t>精确化提升</w:t>
      </w:r>
      <w:r>
        <w:rPr>
          <w:rFonts w:hint="eastAsia" w:ascii="宋体" w:hAnsi="宋体" w:eastAsia="宋体"/>
          <w:b/>
          <w:szCs w:val="21"/>
        </w:rPr>
        <w:t>队伍工作水平</w:t>
      </w:r>
    </w:p>
    <w:p>
      <w:pPr>
        <w:spacing w:line="400" w:lineRule="exact"/>
        <w:ind w:firstLine="420" w:firstLineChars="200"/>
        <w:rPr>
          <w:rFonts w:ascii="宋体" w:hAnsi="宋体" w:eastAsia="宋体"/>
          <w:szCs w:val="21"/>
        </w:rPr>
      </w:pPr>
      <w:r>
        <w:rPr>
          <w:rFonts w:hint="eastAsia" w:ascii="宋体" w:hAnsi="宋体" w:eastAsia="宋体"/>
          <w:szCs w:val="21"/>
        </w:rPr>
        <w:t>家庭经济</w:t>
      </w:r>
      <w:r>
        <w:rPr>
          <w:rFonts w:ascii="宋体" w:hAnsi="宋体" w:eastAsia="宋体"/>
          <w:szCs w:val="21"/>
        </w:rPr>
        <w:t>困难学生认定、奖助学金发放、</w:t>
      </w:r>
      <w:r>
        <w:rPr>
          <w:rFonts w:hint="eastAsia" w:ascii="宋体" w:hAnsi="宋体" w:eastAsia="宋体"/>
          <w:szCs w:val="21"/>
        </w:rPr>
        <w:t>育人</w:t>
      </w:r>
      <w:r>
        <w:rPr>
          <w:rFonts w:ascii="宋体" w:hAnsi="宋体" w:eastAsia="宋体"/>
          <w:szCs w:val="21"/>
        </w:rPr>
        <w:t>活动开展等，都需要由专业资助工作人员完成，</w:t>
      </w:r>
      <w:r>
        <w:rPr>
          <w:rFonts w:hint="eastAsia" w:ascii="宋体" w:hAnsi="宋体" w:eastAsia="宋体"/>
          <w:szCs w:val="21"/>
        </w:rPr>
        <w:t>师资队伍</w:t>
      </w:r>
      <w:r>
        <w:rPr>
          <w:rFonts w:ascii="宋体" w:hAnsi="宋体" w:eastAsia="宋体"/>
          <w:szCs w:val="21"/>
        </w:rPr>
        <w:t>的专业化水平将直接影响到资助育人的效果</w:t>
      </w:r>
      <w:r>
        <w:rPr>
          <w:rFonts w:hint="eastAsia" w:ascii="宋体" w:hAnsi="宋体" w:eastAsia="宋体"/>
          <w:szCs w:val="21"/>
        </w:rPr>
        <w:t>。</w:t>
      </w:r>
      <w:r>
        <w:rPr>
          <w:rFonts w:ascii="宋体" w:hAnsi="宋体" w:eastAsia="宋体"/>
          <w:szCs w:val="21"/>
        </w:rPr>
        <w:t>高校</w:t>
      </w:r>
      <w:r>
        <w:rPr>
          <w:rFonts w:hint="eastAsia" w:ascii="宋体" w:hAnsi="宋体" w:eastAsia="宋体"/>
          <w:szCs w:val="21"/>
        </w:rPr>
        <w:t>应将学历</w:t>
      </w:r>
      <w:r>
        <w:rPr>
          <w:rFonts w:ascii="宋体" w:hAnsi="宋体" w:eastAsia="宋体"/>
          <w:szCs w:val="21"/>
        </w:rPr>
        <w:t>水平、专业知识、工作经验</w:t>
      </w:r>
      <w:r>
        <w:rPr>
          <w:rFonts w:hint="eastAsia" w:ascii="宋体" w:hAnsi="宋体" w:eastAsia="宋体"/>
          <w:szCs w:val="21"/>
        </w:rPr>
        <w:t>等</w:t>
      </w:r>
      <w:r>
        <w:rPr>
          <w:rFonts w:ascii="宋体" w:hAnsi="宋体" w:eastAsia="宋体"/>
          <w:szCs w:val="21"/>
        </w:rPr>
        <w:t>素质</w:t>
      </w:r>
      <w:r>
        <w:rPr>
          <w:rFonts w:hint="eastAsia" w:ascii="宋体" w:hAnsi="宋体" w:eastAsia="宋体"/>
          <w:szCs w:val="21"/>
        </w:rPr>
        <w:t>作为</w:t>
      </w:r>
      <w:r>
        <w:rPr>
          <w:rFonts w:ascii="宋体" w:hAnsi="宋体" w:eastAsia="宋体"/>
          <w:szCs w:val="21"/>
        </w:rPr>
        <w:t>标准，</w:t>
      </w:r>
      <w:r>
        <w:rPr>
          <w:rFonts w:hint="eastAsia" w:ascii="宋体" w:hAnsi="宋体" w:eastAsia="宋体"/>
          <w:szCs w:val="21"/>
        </w:rPr>
        <w:t>选拔优秀</w:t>
      </w:r>
      <w:r>
        <w:rPr>
          <w:rFonts w:ascii="宋体" w:hAnsi="宋体" w:eastAsia="宋体"/>
          <w:szCs w:val="21"/>
        </w:rPr>
        <w:t>教师从事资助育人工作。</w:t>
      </w:r>
      <w:r>
        <w:rPr>
          <w:rFonts w:hint="eastAsia" w:ascii="宋体" w:hAnsi="宋体" w:eastAsia="宋体"/>
          <w:szCs w:val="21"/>
        </w:rPr>
        <w:t>另外</w:t>
      </w:r>
      <w:r>
        <w:rPr>
          <w:rFonts w:ascii="宋体" w:hAnsi="宋体" w:eastAsia="宋体"/>
          <w:szCs w:val="21"/>
        </w:rPr>
        <w:t>，资助育人工作是一项</w:t>
      </w:r>
      <w:r>
        <w:rPr>
          <w:rFonts w:hint="eastAsia" w:ascii="宋体" w:hAnsi="宋体" w:eastAsia="宋体"/>
          <w:szCs w:val="21"/>
        </w:rPr>
        <w:t>复杂</w:t>
      </w:r>
      <w:r>
        <w:rPr>
          <w:rFonts w:ascii="宋体" w:hAnsi="宋体" w:eastAsia="宋体"/>
          <w:szCs w:val="21"/>
        </w:rPr>
        <w:t>的长期工程，</w:t>
      </w:r>
      <w:r>
        <w:rPr>
          <w:rFonts w:hint="eastAsia" w:ascii="宋体" w:hAnsi="宋体" w:eastAsia="宋体"/>
          <w:szCs w:val="21"/>
        </w:rPr>
        <w:t>资助</w:t>
      </w:r>
      <w:r>
        <w:rPr>
          <w:rFonts w:ascii="宋体" w:hAnsi="宋体" w:eastAsia="宋体"/>
          <w:szCs w:val="21"/>
        </w:rPr>
        <w:t>工作人员必须</w:t>
      </w:r>
      <w:r>
        <w:rPr>
          <w:rFonts w:hint="eastAsia" w:ascii="宋体" w:hAnsi="宋体" w:eastAsia="宋体"/>
          <w:szCs w:val="21"/>
        </w:rPr>
        <w:t>了解</w:t>
      </w:r>
      <w:r>
        <w:rPr>
          <w:rFonts w:ascii="宋体" w:hAnsi="宋体" w:eastAsia="宋体"/>
          <w:szCs w:val="21"/>
        </w:rPr>
        <w:t>受助学生</w:t>
      </w:r>
      <w:r>
        <w:rPr>
          <w:rFonts w:hint="eastAsia" w:ascii="宋体" w:hAnsi="宋体" w:eastAsia="宋体"/>
          <w:szCs w:val="21"/>
        </w:rPr>
        <w:t>家庭</w:t>
      </w:r>
      <w:r>
        <w:rPr>
          <w:rFonts w:ascii="宋体" w:hAnsi="宋体" w:eastAsia="宋体"/>
          <w:szCs w:val="21"/>
        </w:rPr>
        <w:t>、学业、心理、人际交往等方面的</w:t>
      </w:r>
      <w:r>
        <w:rPr>
          <w:rFonts w:hint="eastAsia" w:ascii="宋体" w:hAnsi="宋体" w:eastAsia="宋体"/>
          <w:szCs w:val="21"/>
        </w:rPr>
        <w:t>基本情况，</w:t>
      </w:r>
      <w:r>
        <w:rPr>
          <w:rFonts w:ascii="宋体" w:hAnsi="宋体" w:eastAsia="宋体"/>
          <w:szCs w:val="21"/>
        </w:rPr>
        <w:t>与</w:t>
      </w:r>
      <w:r>
        <w:rPr>
          <w:rFonts w:hint="eastAsia" w:ascii="宋体" w:hAnsi="宋体" w:eastAsia="宋体"/>
          <w:szCs w:val="21"/>
        </w:rPr>
        <w:t>受助</w:t>
      </w:r>
      <w:r>
        <w:rPr>
          <w:rFonts w:ascii="宋体" w:hAnsi="宋体" w:eastAsia="宋体"/>
          <w:szCs w:val="21"/>
        </w:rPr>
        <w:t>学生保持经常性沟通交流，把工作做到学生心里，赢得学生信任。</w:t>
      </w:r>
      <w:r>
        <w:rPr>
          <w:rFonts w:hint="eastAsia" w:ascii="宋体" w:hAnsi="宋体" w:eastAsia="宋体"/>
          <w:szCs w:val="21"/>
        </w:rPr>
        <w:t>正因如此</w:t>
      </w:r>
      <w:r>
        <w:rPr>
          <w:rFonts w:ascii="宋体" w:hAnsi="宋体" w:eastAsia="宋体"/>
          <w:szCs w:val="21"/>
        </w:rPr>
        <w:t>，高校应该把对资助工作人员的培训常态化，</w:t>
      </w:r>
      <w:r>
        <w:rPr>
          <w:rFonts w:hint="eastAsia" w:ascii="宋体" w:hAnsi="宋体" w:eastAsia="宋体"/>
          <w:szCs w:val="21"/>
        </w:rPr>
        <w:t>精确化</w:t>
      </w:r>
      <w:r>
        <w:rPr>
          <w:rFonts w:ascii="宋体" w:hAnsi="宋体" w:eastAsia="宋体"/>
          <w:szCs w:val="21"/>
        </w:rPr>
        <w:t>提升师资队伍整体水平。</w:t>
      </w:r>
    </w:p>
    <w:p>
      <w:pPr>
        <w:spacing w:line="400" w:lineRule="exact"/>
        <w:ind w:firstLine="422" w:firstLineChars="200"/>
        <w:rPr>
          <w:rFonts w:ascii="宋体" w:hAnsi="宋体" w:eastAsia="宋体"/>
          <w:b/>
          <w:szCs w:val="21"/>
        </w:rPr>
      </w:pPr>
      <w:r>
        <w:rPr>
          <w:rFonts w:hint="eastAsia" w:ascii="宋体" w:hAnsi="宋体" w:eastAsia="宋体"/>
          <w:b/>
          <w:szCs w:val="21"/>
        </w:rPr>
        <w:t>（四）坚持精细化</w:t>
      </w:r>
      <w:r>
        <w:rPr>
          <w:rFonts w:ascii="宋体" w:hAnsi="宋体" w:eastAsia="宋体"/>
          <w:b/>
          <w:szCs w:val="21"/>
        </w:rPr>
        <w:t>宣传</w:t>
      </w:r>
      <w:r>
        <w:rPr>
          <w:rFonts w:hint="eastAsia" w:ascii="宋体" w:hAnsi="宋体" w:eastAsia="宋体"/>
          <w:b/>
          <w:szCs w:val="21"/>
        </w:rPr>
        <w:t>政策</w:t>
      </w:r>
    </w:p>
    <w:p>
      <w:pPr>
        <w:spacing w:line="400" w:lineRule="exact"/>
        <w:ind w:firstLine="420" w:firstLineChars="200"/>
        <w:rPr>
          <w:rFonts w:ascii="宋体" w:hAnsi="宋体" w:eastAsia="宋体"/>
          <w:szCs w:val="21"/>
        </w:rPr>
      </w:pPr>
      <w:r>
        <w:rPr>
          <w:rFonts w:hint="eastAsia" w:ascii="宋体" w:hAnsi="宋体" w:eastAsia="宋体"/>
          <w:szCs w:val="21"/>
        </w:rPr>
        <w:t>对</w:t>
      </w:r>
      <w:r>
        <w:rPr>
          <w:rFonts w:ascii="宋体" w:hAnsi="宋体" w:eastAsia="宋体"/>
          <w:szCs w:val="21"/>
        </w:rPr>
        <w:t>各类资助政策讲解、对各类</w:t>
      </w:r>
      <w:r>
        <w:rPr>
          <w:rFonts w:hint="eastAsia" w:ascii="宋体" w:hAnsi="宋体" w:eastAsia="宋体"/>
          <w:szCs w:val="21"/>
        </w:rPr>
        <w:t>优秀</w:t>
      </w:r>
      <w:r>
        <w:rPr>
          <w:rFonts w:ascii="宋体" w:hAnsi="宋体" w:eastAsia="宋体"/>
          <w:szCs w:val="21"/>
        </w:rPr>
        <w:t>受助典型报道</w:t>
      </w:r>
      <w:r>
        <w:rPr>
          <w:rFonts w:hint="eastAsia" w:ascii="宋体" w:hAnsi="宋体" w:eastAsia="宋体"/>
          <w:szCs w:val="21"/>
        </w:rPr>
        <w:t>是</w:t>
      </w:r>
      <w:r>
        <w:rPr>
          <w:rFonts w:ascii="宋体" w:hAnsi="宋体" w:eastAsia="宋体"/>
          <w:szCs w:val="21"/>
        </w:rPr>
        <w:t>高校宣传思想工作的组成部分，</w:t>
      </w:r>
      <w:r>
        <w:rPr>
          <w:rFonts w:hint="eastAsia" w:ascii="宋体" w:hAnsi="宋体" w:eastAsia="宋体"/>
          <w:szCs w:val="21"/>
        </w:rPr>
        <w:t>也</w:t>
      </w:r>
      <w:r>
        <w:rPr>
          <w:rFonts w:ascii="宋体" w:hAnsi="宋体" w:eastAsia="宋体"/>
          <w:szCs w:val="21"/>
        </w:rPr>
        <w:t>是提升资助育人效果的</w:t>
      </w:r>
      <w:r>
        <w:rPr>
          <w:rFonts w:hint="eastAsia" w:ascii="宋体" w:hAnsi="宋体" w:eastAsia="宋体"/>
          <w:szCs w:val="21"/>
        </w:rPr>
        <w:t>有效</w:t>
      </w:r>
      <w:r>
        <w:rPr>
          <w:rFonts w:ascii="宋体" w:hAnsi="宋体" w:eastAsia="宋体"/>
          <w:szCs w:val="21"/>
        </w:rPr>
        <w:t>方式。</w:t>
      </w:r>
      <w:r>
        <w:rPr>
          <w:rFonts w:hint="eastAsia" w:ascii="宋体" w:hAnsi="宋体" w:eastAsia="宋体"/>
          <w:szCs w:val="21"/>
        </w:rPr>
        <w:t>高校应</w:t>
      </w:r>
      <w:r>
        <w:rPr>
          <w:rFonts w:ascii="宋体" w:hAnsi="宋体" w:eastAsia="宋体"/>
          <w:szCs w:val="21"/>
        </w:rPr>
        <w:t>建立</w:t>
      </w:r>
      <w:r>
        <w:rPr>
          <w:rFonts w:hint="eastAsia" w:ascii="宋体" w:hAnsi="宋体" w:eastAsia="宋体"/>
          <w:szCs w:val="21"/>
        </w:rPr>
        <w:t>精细</w:t>
      </w:r>
      <w:r>
        <w:rPr>
          <w:rFonts w:ascii="宋体" w:hAnsi="宋体" w:eastAsia="宋体"/>
          <w:szCs w:val="21"/>
        </w:rPr>
        <w:t>的资助工作宣传考核体系，</w:t>
      </w:r>
      <w:r>
        <w:rPr>
          <w:rFonts w:hint="eastAsia" w:ascii="宋体" w:hAnsi="宋体" w:eastAsia="宋体"/>
          <w:szCs w:val="21"/>
        </w:rPr>
        <w:t>要求</w:t>
      </w:r>
      <w:r>
        <w:rPr>
          <w:rFonts w:ascii="宋体" w:hAnsi="宋体" w:eastAsia="宋体"/>
          <w:szCs w:val="21"/>
        </w:rPr>
        <w:t>资助工作人员、辅导员、班主任定期开展资助政策的宣讲，鼓励</w:t>
      </w:r>
      <w:r>
        <w:rPr>
          <w:rFonts w:hint="eastAsia" w:ascii="宋体" w:hAnsi="宋体" w:eastAsia="宋体"/>
          <w:szCs w:val="21"/>
        </w:rPr>
        <w:t>走访</w:t>
      </w:r>
      <w:r>
        <w:rPr>
          <w:rFonts w:ascii="宋体" w:hAnsi="宋体" w:eastAsia="宋体"/>
          <w:szCs w:val="21"/>
        </w:rPr>
        <w:t>受助</w:t>
      </w:r>
      <w:r>
        <w:rPr>
          <w:rFonts w:hint="eastAsia" w:ascii="宋体" w:hAnsi="宋体" w:eastAsia="宋体"/>
          <w:szCs w:val="21"/>
        </w:rPr>
        <w:t>学生</w:t>
      </w:r>
      <w:r>
        <w:rPr>
          <w:rFonts w:ascii="宋体" w:hAnsi="宋体" w:eastAsia="宋体"/>
          <w:szCs w:val="21"/>
        </w:rPr>
        <w:t>家庭，挖掘受助学生典型，</w:t>
      </w:r>
      <w:r>
        <w:rPr>
          <w:rFonts w:hint="eastAsia" w:ascii="宋体" w:hAnsi="宋体" w:eastAsia="宋体"/>
          <w:szCs w:val="21"/>
        </w:rPr>
        <w:t>在</w:t>
      </w:r>
      <w:r>
        <w:rPr>
          <w:rFonts w:ascii="宋体" w:hAnsi="宋体" w:eastAsia="宋体"/>
          <w:szCs w:val="21"/>
        </w:rPr>
        <w:t>受助学生中营造</w:t>
      </w:r>
      <w:r>
        <w:rPr>
          <w:rFonts w:hint="eastAsia" w:ascii="宋体" w:hAnsi="宋体" w:eastAsia="宋体"/>
          <w:szCs w:val="21"/>
        </w:rPr>
        <w:t>“我要成才”的良好</w:t>
      </w:r>
      <w:r>
        <w:rPr>
          <w:rFonts w:ascii="宋体" w:hAnsi="宋体" w:eastAsia="宋体"/>
          <w:szCs w:val="21"/>
        </w:rPr>
        <w:t>氛围。</w:t>
      </w:r>
    </w:p>
    <w:p>
      <w:pPr>
        <w:spacing w:line="400" w:lineRule="exact"/>
        <w:ind w:firstLine="480" w:firstLineChars="200"/>
        <w:rPr>
          <w:rFonts w:ascii="宋体" w:hAnsi="宋体" w:eastAsia="宋体"/>
          <w:sz w:val="24"/>
          <w:szCs w:val="24"/>
        </w:rPr>
      </w:pPr>
    </w:p>
    <w:p>
      <w:pPr>
        <w:spacing w:line="400" w:lineRule="exact"/>
        <w:ind w:firstLine="480" w:firstLineChars="200"/>
        <w:rPr>
          <w:rFonts w:ascii="宋体" w:hAnsi="宋体" w:eastAsia="宋体"/>
          <w:sz w:val="24"/>
          <w:szCs w:val="24"/>
        </w:rPr>
      </w:pPr>
    </w:p>
    <w:p>
      <w:pPr>
        <w:spacing w:line="400" w:lineRule="exact"/>
        <w:ind w:firstLine="422" w:firstLineChars="200"/>
        <w:rPr>
          <w:rFonts w:ascii="宋体" w:hAnsi="宋体" w:eastAsia="宋体"/>
          <w:b/>
          <w:bCs/>
          <w:szCs w:val="21"/>
        </w:rPr>
      </w:pPr>
      <w:r>
        <w:rPr>
          <w:rFonts w:hint="eastAsia" w:ascii="宋体" w:hAnsi="宋体" w:eastAsia="宋体"/>
          <w:b/>
          <w:bCs/>
          <w:szCs w:val="21"/>
        </w:rPr>
        <w:t>参考文献</w:t>
      </w:r>
      <w:r>
        <w:rPr>
          <w:rFonts w:ascii="宋体" w:hAnsi="宋体" w:eastAsia="宋体"/>
          <w:b/>
          <w:bCs/>
          <w:szCs w:val="21"/>
        </w:rPr>
        <w:t>：</w:t>
      </w:r>
    </w:p>
    <w:p>
      <w:pPr>
        <w:spacing w:line="400" w:lineRule="exact"/>
        <w:ind w:firstLine="420" w:firstLineChars="200"/>
        <w:rPr>
          <w:rFonts w:ascii="宋体" w:hAnsi="宋体" w:eastAsia="宋体"/>
          <w:szCs w:val="21"/>
        </w:rPr>
      </w:pPr>
      <w:r>
        <w:rPr>
          <w:rFonts w:hint="eastAsia" w:ascii="宋体" w:hAnsi="宋体" w:eastAsia="宋体"/>
          <w:szCs w:val="21"/>
        </w:rPr>
        <w:t>[</w:t>
      </w:r>
      <w:r>
        <w:rPr>
          <w:rFonts w:ascii="宋体" w:hAnsi="宋体" w:eastAsia="宋体"/>
          <w:szCs w:val="21"/>
        </w:rPr>
        <w:t>1</w:t>
      </w:r>
      <w:r>
        <w:rPr>
          <w:rFonts w:hint="eastAsia" w:ascii="宋体" w:hAnsi="宋体" w:eastAsia="宋体"/>
          <w:szCs w:val="21"/>
        </w:rPr>
        <w:t>]李玉兰.国家学生资助政策已从确保不辍学走向资助育人</w:t>
      </w:r>
      <w:r>
        <w:rPr>
          <w:rFonts w:ascii="Times New Roman" w:hAnsi="Times New Roman" w:eastAsia="宋体" w:cs="Times New Roman"/>
          <w:szCs w:val="21"/>
        </w:rPr>
        <w:t>[N]</w:t>
      </w:r>
      <w:r>
        <w:rPr>
          <w:rFonts w:ascii="宋体" w:hAnsi="宋体" w:eastAsia="宋体"/>
          <w:szCs w:val="21"/>
        </w:rPr>
        <w:t>.</w:t>
      </w:r>
      <w:r>
        <w:rPr>
          <w:rFonts w:hint="eastAsia" w:ascii="宋体" w:hAnsi="宋体" w:eastAsia="宋体"/>
          <w:szCs w:val="21"/>
        </w:rPr>
        <w:t>光明日报，</w:t>
      </w:r>
      <w:r>
        <w:rPr>
          <w:rFonts w:ascii="宋体" w:hAnsi="宋体" w:eastAsia="宋体"/>
          <w:szCs w:val="21"/>
        </w:rPr>
        <w:t>2011-03-04.</w:t>
      </w:r>
    </w:p>
    <w:p>
      <w:pPr>
        <w:spacing w:line="400" w:lineRule="exact"/>
        <w:ind w:firstLine="420" w:firstLineChars="200"/>
        <w:rPr>
          <w:rFonts w:ascii="宋体" w:hAnsi="宋体" w:eastAsia="宋体"/>
          <w:szCs w:val="21"/>
        </w:rPr>
      </w:pPr>
      <w:r>
        <w:rPr>
          <w:rFonts w:hint="eastAsia" w:ascii="宋体" w:hAnsi="宋体" w:eastAsia="宋体"/>
          <w:szCs w:val="21"/>
        </w:rPr>
        <w:t>[</w:t>
      </w:r>
      <w:r>
        <w:rPr>
          <w:rFonts w:ascii="宋体" w:hAnsi="宋体" w:eastAsia="宋体"/>
          <w:szCs w:val="21"/>
        </w:rPr>
        <w:t>2</w:t>
      </w:r>
      <w:r>
        <w:rPr>
          <w:rFonts w:hint="eastAsia" w:ascii="宋体" w:hAnsi="宋体" w:eastAsia="宋体"/>
          <w:szCs w:val="21"/>
        </w:rPr>
        <w:t>]朱善璐</w:t>
      </w:r>
      <w:r>
        <w:rPr>
          <w:rFonts w:ascii="宋体" w:hAnsi="宋体" w:eastAsia="宋体"/>
          <w:szCs w:val="21"/>
        </w:rPr>
        <w:t>.</w:t>
      </w:r>
      <w:r>
        <w:rPr>
          <w:rFonts w:hint="eastAsia" w:ascii="宋体" w:hAnsi="宋体" w:eastAsia="宋体"/>
          <w:szCs w:val="21"/>
        </w:rPr>
        <w:t>一流大学必须有一流学生资助体系</w:t>
      </w:r>
      <w:r>
        <w:rPr>
          <w:rFonts w:ascii="Times New Roman" w:hAnsi="Times New Roman" w:eastAsia="宋体" w:cs="Times New Roman"/>
          <w:szCs w:val="21"/>
        </w:rPr>
        <w:t>[J]</w:t>
      </w:r>
      <w:r>
        <w:rPr>
          <w:rFonts w:ascii="宋体" w:hAnsi="宋体" w:eastAsia="宋体"/>
          <w:szCs w:val="21"/>
        </w:rPr>
        <w:t>.</w:t>
      </w:r>
      <w:r>
        <w:rPr>
          <w:rFonts w:hint="eastAsia" w:ascii="宋体" w:hAnsi="宋体" w:eastAsia="宋体"/>
          <w:szCs w:val="21"/>
        </w:rPr>
        <w:t>中国高等教育，</w:t>
      </w:r>
      <w:r>
        <w:rPr>
          <w:rFonts w:ascii="宋体" w:hAnsi="宋体" w:eastAsia="宋体"/>
          <w:szCs w:val="21"/>
        </w:rPr>
        <w:t>2016(9)：10-13.</w:t>
      </w:r>
    </w:p>
    <w:p>
      <w:pPr>
        <w:spacing w:line="400" w:lineRule="exact"/>
        <w:ind w:firstLine="420" w:firstLineChars="200"/>
        <w:rPr>
          <w:rFonts w:ascii="宋体" w:hAnsi="宋体" w:eastAsia="宋体"/>
          <w:szCs w:val="21"/>
        </w:rPr>
      </w:pPr>
      <w:r>
        <w:rPr>
          <w:rFonts w:hint="eastAsia" w:ascii="宋体" w:hAnsi="宋体" w:eastAsia="宋体"/>
          <w:szCs w:val="21"/>
        </w:rPr>
        <w:t>[</w:t>
      </w:r>
      <w:r>
        <w:rPr>
          <w:rFonts w:ascii="宋体" w:hAnsi="宋体" w:eastAsia="宋体"/>
          <w:szCs w:val="21"/>
        </w:rPr>
        <w:t>3</w:t>
      </w:r>
      <w:r>
        <w:rPr>
          <w:rFonts w:hint="eastAsia" w:ascii="宋体" w:hAnsi="宋体" w:eastAsia="宋体"/>
          <w:szCs w:val="21"/>
        </w:rPr>
        <w:t>]杨振斌</w:t>
      </w:r>
      <w:r>
        <w:rPr>
          <w:rFonts w:ascii="宋体" w:hAnsi="宋体" w:eastAsia="宋体"/>
          <w:szCs w:val="21"/>
        </w:rPr>
        <w:t>.</w:t>
      </w:r>
      <w:r>
        <w:rPr>
          <w:rFonts w:hint="eastAsia" w:ascii="宋体" w:hAnsi="宋体" w:eastAsia="宋体"/>
          <w:szCs w:val="21"/>
        </w:rPr>
        <w:t>做好新形势下高校资助育人工作的实践与思考</w:t>
      </w:r>
      <w:r>
        <w:rPr>
          <w:rFonts w:ascii="Times New Roman" w:hAnsi="Times New Roman" w:eastAsia="宋体" w:cs="Times New Roman"/>
          <w:szCs w:val="21"/>
        </w:rPr>
        <w:t>[J]</w:t>
      </w:r>
      <w:r>
        <w:rPr>
          <w:rFonts w:ascii="宋体" w:hAnsi="宋体" w:eastAsia="宋体"/>
          <w:szCs w:val="21"/>
        </w:rPr>
        <w:t>.</w:t>
      </w:r>
      <w:r>
        <w:rPr>
          <w:rFonts w:hint="eastAsia" w:ascii="宋体" w:hAnsi="宋体" w:eastAsia="宋体"/>
          <w:szCs w:val="21"/>
        </w:rPr>
        <w:t>中国高等教育，</w:t>
      </w:r>
      <w:r>
        <w:rPr>
          <w:rFonts w:ascii="宋体" w:hAnsi="宋体" w:eastAsia="宋体"/>
          <w:szCs w:val="21"/>
        </w:rPr>
        <w:t>2018(5):17-20.</w:t>
      </w:r>
    </w:p>
    <w:p>
      <w:pPr>
        <w:spacing w:line="400" w:lineRule="exact"/>
        <w:ind w:firstLine="420" w:firstLineChars="200"/>
        <w:rPr>
          <w:rFonts w:ascii="宋体" w:hAnsi="宋体" w:eastAsia="宋体"/>
          <w:szCs w:val="21"/>
        </w:rPr>
      </w:pPr>
      <w:r>
        <w:rPr>
          <w:rFonts w:hint="eastAsia" w:ascii="宋体" w:hAnsi="宋体" w:eastAsia="宋体"/>
          <w:szCs w:val="21"/>
        </w:rPr>
        <w:t>[</w:t>
      </w:r>
      <w:r>
        <w:rPr>
          <w:rFonts w:ascii="宋体" w:hAnsi="宋体" w:eastAsia="宋体"/>
          <w:szCs w:val="21"/>
        </w:rPr>
        <w:t>4</w:t>
      </w:r>
      <w:r>
        <w:rPr>
          <w:rFonts w:hint="eastAsia" w:ascii="宋体" w:hAnsi="宋体" w:eastAsia="宋体"/>
          <w:szCs w:val="21"/>
        </w:rPr>
        <w:t>]夏书珍，姜玉荣</w:t>
      </w:r>
      <w:r>
        <w:rPr>
          <w:rFonts w:ascii="宋体" w:hAnsi="宋体" w:eastAsia="宋体"/>
          <w:szCs w:val="21"/>
        </w:rPr>
        <w:t>.</w:t>
      </w:r>
      <w:r>
        <w:rPr>
          <w:rFonts w:hint="eastAsia" w:ascii="宋体" w:hAnsi="宋体" w:eastAsia="宋体"/>
          <w:szCs w:val="21"/>
        </w:rPr>
        <w:t>高校资助育人工作探索</w:t>
      </w:r>
      <w:r>
        <w:rPr>
          <w:rFonts w:ascii="Times New Roman" w:hAnsi="Times New Roman" w:eastAsia="宋体" w:cs="Times New Roman"/>
          <w:szCs w:val="21"/>
        </w:rPr>
        <w:t>[J]</w:t>
      </w:r>
      <w:r>
        <w:rPr>
          <w:rFonts w:ascii="宋体" w:hAnsi="宋体" w:eastAsia="宋体"/>
          <w:szCs w:val="21"/>
        </w:rPr>
        <w:t>.</w:t>
      </w:r>
      <w:r>
        <w:rPr>
          <w:rFonts w:hint="eastAsia" w:ascii="宋体" w:hAnsi="宋体" w:eastAsia="宋体"/>
          <w:szCs w:val="21"/>
        </w:rPr>
        <w:t>中国成人教育，</w:t>
      </w:r>
      <w:r>
        <w:rPr>
          <w:rFonts w:ascii="宋体" w:hAnsi="宋体" w:eastAsia="宋体"/>
          <w:szCs w:val="21"/>
        </w:rPr>
        <w:t>2015(5):54-56.</w:t>
      </w:r>
    </w:p>
    <w:p>
      <w:pPr>
        <w:spacing w:line="400" w:lineRule="exact"/>
        <w:ind w:firstLine="420" w:firstLineChars="200"/>
        <w:rPr>
          <w:rFonts w:ascii="宋体" w:hAnsi="宋体" w:eastAsia="宋体"/>
          <w:szCs w:val="21"/>
        </w:rPr>
      </w:pPr>
      <w:r>
        <w:rPr>
          <w:rFonts w:hint="eastAsia" w:ascii="宋体" w:hAnsi="宋体" w:eastAsia="宋体"/>
          <w:szCs w:val="21"/>
        </w:rPr>
        <w:t>[</w:t>
      </w:r>
      <w:r>
        <w:rPr>
          <w:rFonts w:ascii="宋体" w:hAnsi="宋体" w:eastAsia="宋体"/>
          <w:szCs w:val="21"/>
        </w:rPr>
        <w:t>5</w:t>
      </w:r>
      <w:r>
        <w:rPr>
          <w:rFonts w:hint="eastAsia" w:ascii="宋体" w:hAnsi="宋体" w:eastAsia="宋体"/>
          <w:szCs w:val="21"/>
        </w:rPr>
        <w:t>]徐美华，饶志雄</w:t>
      </w:r>
      <w:r>
        <w:rPr>
          <w:rFonts w:ascii="宋体" w:hAnsi="宋体" w:eastAsia="宋体"/>
          <w:szCs w:val="21"/>
        </w:rPr>
        <w:t>.</w:t>
      </w:r>
      <w:r>
        <w:rPr>
          <w:rFonts w:hint="eastAsia" w:ascii="宋体" w:hAnsi="宋体" w:eastAsia="宋体"/>
          <w:szCs w:val="21"/>
        </w:rPr>
        <w:t>新时期高校资助育人工作机制探析</w:t>
      </w:r>
      <w:r>
        <w:rPr>
          <w:rFonts w:ascii="Times New Roman" w:hAnsi="Times New Roman" w:eastAsia="宋体" w:cs="Times New Roman"/>
          <w:szCs w:val="21"/>
        </w:rPr>
        <w:t>[J]</w:t>
      </w:r>
      <w:r>
        <w:rPr>
          <w:rFonts w:ascii="宋体" w:hAnsi="宋体" w:eastAsia="宋体"/>
          <w:szCs w:val="21"/>
        </w:rPr>
        <w:t>.</w:t>
      </w:r>
      <w:r>
        <w:rPr>
          <w:rFonts w:hint="eastAsia" w:ascii="宋体" w:hAnsi="宋体" w:eastAsia="宋体"/>
          <w:szCs w:val="21"/>
        </w:rPr>
        <w:t>学校党建与思想教育，</w:t>
      </w:r>
      <w:r>
        <w:rPr>
          <w:rFonts w:ascii="宋体" w:hAnsi="宋体" w:eastAsia="宋体"/>
          <w:szCs w:val="21"/>
        </w:rPr>
        <w:t>2016(2):49-50.</w:t>
      </w:r>
    </w:p>
    <w:p>
      <w:pPr>
        <w:spacing w:line="400" w:lineRule="exact"/>
        <w:ind w:firstLine="420" w:firstLineChars="200"/>
        <w:rPr>
          <w:rFonts w:ascii="宋体" w:hAnsi="宋体" w:eastAsia="宋体"/>
          <w:szCs w:val="21"/>
        </w:rPr>
      </w:pPr>
      <w:r>
        <w:rPr>
          <w:rFonts w:hint="eastAsia" w:ascii="宋体" w:hAnsi="宋体" w:eastAsia="宋体"/>
          <w:szCs w:val="21"/>
        </w:rPr>
        <w:t>[</w:t>
      </w:r>
      <w:r>
        <w:rPr>
          <w:rFonts w:ascii="宋体" w:hAnsi="宋体" w:eastAsia="宋体"/>
          <w:szCs w:val="21"/>
        </w:rPr>
        <w:t>6</w:t>
      </w:r>
      <w:r>
        <w:rPr>
          <w:rFonts w:hint="eastAsia" w:ascii="宋体" w:hAnsi="宋体" w:eastAsia="宋体"/>
          <w:szCs w:val="21"/>
        </w:rPr>
        <w:t>]张远航.高校资助育人的价值意蕴与实现路径</w:t>
      </w:r>
      <w:r>
        <w:rPr>
          <w:rFonts w:ascii="Times New Roman" w:hAnsi="Times New Roman" w:eastAsia="宋体" w:cs="Times New Roman"/>
          <w:szCs w:val="21"/>
        </w:rPr>
        <w:t>[J]</w:t>
      </w:r>
      <w:r>
        <w:rPr>
          <w:rFonts w:ascii="宋体" w:hAnsi="宋体" w:eastAsia="宋体"/>
          <w:szCs w:val="21"/>
        </w:rPr>
        <w:t>.</w:t>
      </w:r>
      <w:r>
        <w:rPr>
          <w:rFonts w:hint="eastAsia" w:ascii="宋体" w:hAnsi="宋体" w:eastAsia="宋体"/>
          <w:szCs w:val="21"/>
        </w:rPr>
        <w:t>思想理论教育，</w:t>
      </w:r>
      <w:r>
        <w:rPr>
          <w:rFonts w:ascii="宋体" w:hAnsi="宋体" w:eastAsia="宋体"/>
          <w:szCs w:val="21"/>
        </w:rPr>
        <w:t>2018(6):106-109.</w:t>
      </w:r>
    </w:p>
    <w:p>
      <w:pPr>
        <w:spacing w:line="400" w:lineRule="exact"/>
        <w:ind w:firstLine="420" w:firstLineChars="200"/>
        <w:rPr>
          <w:rFonts w:ascii="宋体" w:hAnsi="宋体" w:eastAsia="宋体"/>
          <w:szCs w:val="21"/>
        </w:rPr>
      </w:pPr>
      <w:r>
        <w:rPr>
          <w:rFonts w:hint="eastAsia" w:ascii="宋体" w:hAnsi="宋体" w:eastAsia="宋体"/>
          <w:szCs w:val="21"/>
        </w:rPr>
        <w:t>[</w:t>
      </w:r>
      <w:r>
        <w:rPr>
          <w:rFonts w:ascii="宋体" w:hAnsi="宋体" w:eastAsia="宋体"/>
          <w:szCs w:val="21"/>
        </w:rPr>
        <w:t>7</w:t>
      </w:r>
      <w:r>
        <w:rPr>
          <w:rFonts w:hint="eastAsia" w:ascii="宋体" w:hAnsi="宋体" w:eastAsia="宋体"/>
          <w:szCs w:val="21"/>
        </w:rPr>
        <w:t>]李义波</w:t>
      </w:r>
      <w:r>
        <w:rPr>
          <w:rFonts w:ascii="宋体" w:hAnsi="宋体" w:eastAsia="宋体"/>
          <w:szCs w:val="21"/>
        </w:rPr>
        <w:t>.</w:t>
      </w:r>
      <w:r>
        <w:rPr>
          <w:rFonts w:hint="eastAsia" w:ascii="宋体" w:hAnsi="宋体" w:eastAsia="宋体"/>
          <w:szCs w:val="21"/>
        </w:rPr>
        <w:t>新时代高校发展型资助育人工作体系探析</w:t>
      </w:r>
      <w:r>
        <w:rPr>
          <w:rFonts w:ascii="Times New Roman" w:hAnsi="Times New Roman" w:eastAsia="宋体" w:cs="Times New Roman"/>
          <w:szCs w:val="21"/>
        </w:rPr>
        <w:t>[J]</w:t>
      </w:r>
      <w:r>
        <w:rPr>
          <w:rFonts w:ascii="宋体" w:hAnsi="宋体" w:eastAsia="宋体"/>
          <w:szCs w:val="21"/>
        </w:rPr>
        <w:t>.</w:t>
      </w:r>
      <w:r>
        <w:rPr>
          <w:rFonts w:hint="eastAsia" w:ascii="宋体" w:hAnsi="宋体" w:eastAsia="宋体"/>
          <w:szCs w:val="21"/>
        </w:rPr>
        <w:t>学校党建与思想教育</w:t>
      </w:r>
      <w:r>
        <w:rPr>
          <w:rFonts w:ascii="宋体" w:hAnsi="宋体" w:eastAsia="宋体"/>
          <w:szCs w:val="21"/>
        </w:rPr>
        <w:t>,</w:t>
      </w:r>
      <w:r>
        <w:t xml:space="preserve"> </w:t>
      </w:r>
      <w:r>
        <w:rPr>
          <w:rFonts w:ascii="宋体" w:hAnsi="宋体" w:eastAsia="宋体"/>
          <w:szCs w:val="21"/>
        </w:rPr>
        <w:t>2019(2):68-70.</w:t>
      </w:r>
    </w:p>
    <w:p>
      <w:pPr>
        <w:spacing w:before="156" w:beforeLines="50" w:after="156" w:afterLines="50"/>
        <w:jc w:val="center"/>
        <w:rPr>
          <w:rFonts w:ascii="黑体" w:hAnsi="黑体" w:eastAsia="黑体"/>
          <w:sz w:val="32"/>
          <w:szCs w:val="32"/>
        </w:rPr>
      </w:pPr>
    </w:p>
    <w:p>
      <w:pPr>
        <w:spacing w:before="156" w:beforeLines="50" w:after="156" w:afterLines="50"/>
        <w:jc w:val="center"/>
        <w:rPr>
          <w:rFonts w:ascii="黑体" w:hAnsi="黑体" w:eastAsia="黑体"/>
          <w:sz w:val="32"/>
          <w:szCs w:val="32"/>
        </w:rPr>
      </w:pPr>
    </w:p>
    <w:p>
      <w:pPr>
        <w:spacing w:before="156" w:beforeLines="50" w:after="156" w:afterLines="50"/>
        <w:jc w:val="center"/>
        <w:rPr>
          <w:rFonts w:ascii="黑体" w:hAnsi="黑体" w:eastAsia="黑体"/>
          <w:sz w:val="32"/>
          <w:szCs w:val="32"/>
        </w:rPr>
      </w:pPr>
    </w:p>
    <w:p>
      <w:pPr>
        <w:spacing w:before="156" w:beforeLines="50" w:after="156" w:afterLines="50"/>
        <w:jc w:val="center"/>
        <w:rPr>
          <w:rFonts w:ascii="黑体" w:hAnsi="黑体" w:eastAsia="黑体"/>
          <w:sz w:val="32"/>
          <w:szCs w:val="32"/>
        </w:rPr>
      </w:pPr>
    </w:p>
    <w:p>
      <w:pPr>
        <w:spacing w:before="156" w:beforeLines="50" w:after="156" w:afterLines="50"/>
        <w:jc w:val="center"/>
        <w:rPr>
          <w:rFonts w:ascii="黑体" w:hAnsi="黑体" w:eastAsia="黑体"/>
          <w:sz w:val="32"/>
          <w:szCs w:val="32"/>
        </w:rPr>
      </w:pPr>
    </w:p>
    <w:p>
      <w:pPr>
        <w:spacing w:before="156" w:beforeLines="50" w:after="156" w:afterLines="50"/>
        <w:jc w:val="center"/>
        <w:rPr>
          <w:rFonts w:ascii="黑体" w:hAnsi="黑体" w:eastAsia="黑体"/>
          <w:sz w:val="32"/>
          <w:szCs w:val="32"/>
        </w:rPr>
      </w:pPr>
    </w:p>
    <w:p>
      <w:pPr>
        <w:spacing w:before="156" w:beforeLines="50" w:after="156" w:afterLines="50"/>
        <w:jc w:val="center"/>
        <w:rPr>
          <w:rFonts w:ascii="黑体" w:hAnsi="黑体" w:eastAsia="黑体"/>
          <w:sz w:val="32"/>
          <w:szCs w:val="32"/>
        </w:rPr>
      </w:pPr>
    </w:p>
    <w:p>
      <w:pPr>
        <w:spacing w:before="156" w:beforeLines="50" w:after="156" w:afterLines="50"/>
        <w:jc w:val="center"/>
        <w:rPr>
          <w:rFonts w:ascii="黑体" w:hAnsi="黑体" w:eastAsia="黑体"/>
          <w:sz w:val="32"/>
          <w:szCs w:val="32"/>
        </w:rPr>
      </w:pPr>
    </w:p>
    <w:p>
      <w:pPr>
        <w:ind w:firstLine="422" w:firstLineChars="200"/>
        <w:jc w:val="left"/>
        <w:rPr>
          <w:rFonts w:ascii="宋体" w:hAnsi="宋体" w:eastAsia="宋体"/>
          <w:b/>
          <w:szCs w:val="21"/>
        </w:rPr>
      </w:pPr>
    </w:p>
    <w:p>
      <w:pPr>
        <w:ind w:firstLine="420" w:firstLineChars="200"/>
        <w:jc w:val="center"/>
        <w:rPr>
          <w:rFonts w:ascii="Times New Roman" w:hAnsi="Times New Roman" w:eastAsia="宋体" w:cs="Times New Roman"/>
          <w:szCs w:val="21"/>
        </w:rPr>
      </w:pPr>
      <w:r>
        <w:rPr>
          <w:rFonts w:ascii="Times New Roman" w:hAnsi="Times New Roman" w:eastAsia="宋体" w:cs="Times New Roman"/>
          <w:szCs w:val="21"/>
        </w:rPr>
        <w:t>T</w:t>
      </w:r>
      <w:r>
        <w:rPr>
          <w:rFonts w:hint="eastAsia" w:ascii="Times New Roman" w:hAnsi="Times New Roman" w:eastAsia="宋体" w:cs="Times New Roman"/>
          <w:szCs w:val="21"/>
        </w:rPr>
        <w:t>he</w:t>
      </w:r>
      <w:r>
        <w:rPr>
          <w:rFonts w:ascii="Times New Roman" w:hAnsi="Times New Roman" w:eastAsia="宋体" w:cs="Times New Roman"/>
          <w:szCs w:val="21"/>
        </w:rPr>
        <w:t xml:space="preserve"> Construction and Enlightenment of the Evaluation System of Funded Education in Universities</w:t>
      </w:r>
    </w:p>
    <w:p>
      <w:pPr>
        <w:ind w:firstLine="420" w:firstLineChars="200"/>
        <w:jc w:val="center"/>
        <w:rPr>
          <w:rFonts w:ascii="Times New Roman" w:hAnsi="Times New Roman" w:eastAsia="宋体" w:cs="Times New Roman"/>
          <w:szCs w:val="21"/>
        </w:rPr>
      </w:pPr>
      <w:r>
        <w:rPr>
          <w:rFonts w:ascii="Times New Roman" w:hAnsi="Times New Roman" w:eastAsia="宋体" w:cs="Times New Roman"/>
          <w:szCs w:val="21"/>
        </w:rPr>
        <w:t>WANG Beibei</w:t>
      </w:r>
    </w:p>
    <w:p>
      <w:pPr>
        <w:ind w:firstLine="420" w:firstLineChars="200"/>
        <w:jc w:val="center"/>
        <w:rPr>
          <w:rFonts w:ascii="Times New Roman" w:hAnsi="Times New Roman" w:eastAsia="宋体" w:cs="Times New Roman"/>
          <w:szCs w:val="21"/>
        </w:rPr>
      </w:pPr>
      <w:r>
        <w:rPr>
          <w:rFonts w:ascii="Times New Roman" w:hAnsi="Times New Roman" w:eastAsia="宋体" w:cs="Times New Roman"/>
          <w:szCs w:val="21"/>
        </w:rPr>
        <w:t>(School of Public Administration, China University of Mining and Technology, Xuzhou, Jiangsu 221100, China)</w:t>
      </w:r>
    </w:p>
    <w:p>
      <w:pPr>
        <w:ind w:firstLine="422" w:firstLineChars="200"/>
        <w:rPr>
          <w:rFonts w:ascii="Times New Roman" w:hAnsi="Times New Roman" w:eastAsia="宋体" w:cs="Times New Roman"/>
          <w:szCs w:val="21"/>
        </w:rPr>
      </w:pPr>
      <w:r>
        <w:rPr>
          <w:rFonts w:ascii="Times New Roman" w:hAnsi="Times New Roman" w:eastAsia="宋体" w:cs="Times New Roman"/>
          <w:b/>
          <w:szCs w:val="21"/>
        </w:rPr>
        <w:t>Abstract：</w:t>
      </w:r>
      <w:r>
        <w:rPr>
          <w:rFonts w:hint="eastAsia" w:ascii="Times New Roman" w:hAnsi="Times New Roman" w:eastAsia="宋体" w:cs="Times New Roman"/>
          <w:bCs/>
          <w:szCs w:val="21"/>
        </w:rPr>
        <w:t>I</w:t>
      </w:r>
      <w:r>
        <w:rPr>
          <w:rFonts w:ascii="Times New Roman" w:hAnsi="Times New Roman" w:eastAsia="宋体" w:cs="Times New Roman"/>
          <w:bCs/>
          <w:szCs w:val="21"/>
        </w:rPr>
        <w:t xml:space="preserve">t has an </w:t>
      </w:r>
      <w:r>
        <w:rPr>
          <w:rFonts w:ascii="Times New Roman" w:hAnsi="Times New Roman" w:eastAsia="宋体" w:cs="Times New Roman"/>
          <w:szCs w:val="21"/>
        </w:rPr>
        <w:t>important guiding role in improving the effectiveness of funded education in colleges and universities to construct a scientific evaluation system for funded education. This paper analyzes the current status of funded education and sorts out the existing problem. On this basis, it uses the analytic hierarchy process to construct the evaluation system of funded education, and provides countermeasures and suggestions for improving the current situation of funded education.</w:t>
      </w:r>
    </w:p>
    <w:p>
      <w:pPr>
        <w:jc w:val="left"/>
        <w:rPr>
          <w:rFonts w:ascii="Times New Roman" w:hAnsi="Times New Roman" w:eastAsia="宋体" w:cs="Times New Roman"/>
          <w:szCs w:val="21"/>
        </w:rPr>
      </w:pPr>
      <w:r>
        <w:rPr>
          <w:rFonts w:ascii="Times New Roman" w:hAnsi="Times New Roman" w:eastAsia="宋体" w:cs="Times New Roman"/>
          <w:b/>
          <w:szCs w:val="21"/>
        </w:rPr>
        <w:t>Key words</w:t>
      </w:r>
      <w:r>
        <w:rPr>
          <w:rFonts w:hint="eastAsia" w:ascii="Times New Roman" w:hAnsi="Times New Roman" w:eastAsia="宋体" w:cs="Times New Roman"/>
          <w:b/>
          <w:szCs w:val="21"/>
        </w:rPr>
        <w:t>:</w:t>
      </w:r>
      <w:r>
        <w:rPr>
          <w:rFonts w:ascii="Times New Roman" w:hAnsi="Times New Roman" w:eastAsia="宋体" w:cs="Times New Roman"/>
          <w:b/>
          <w:szCs w:val="21"/>
        </w:rPr>
        <w:t xml:space="preserve"> </w:t>
      </w:r>
      <w:r>
        <w:rPr>
          <w:rFonts w:ascii="Times New Roman" w:hAnsi="Times New Roman" w:eastAsia="宋体" w:cs="Times New Roman"/>
          <w:szCs w:val="21"/>
        </w:rPr>
        <w:t>funded education；analytic hierarchy process；evaluation system</w:t>
      </w:r>
    </w:p>
    <w:p>
      <w:pPr>
        <w:spacing w:line="400" w:lineRule="exact"/>
        <w:ind w:firstLine="420" w:firstLineChars="200"/>
        <w:jc w:val="left"/>
        <w:rPr>
          <w:rFonts w:ascii="Times New Roman" w:hAnsi="Times New Roman" w:eastAsia="宋体" w:cs="Times New Roman"/>
          <w:szCs w:val="21"/>
        </w:rPr>
      </w:pPr>
    </w:p>
    <w:p>
      <w:pPr>
        <w:spacing w:line="400" w:lineRule="exact"/>
        <w:ind w:firstLine="420" w:firstLineChars="200"/>
        <w:jc w:val="left"/>
        <w:rPr>
          <w:rFonts w:ascii="宋体" w:hAnsi="宋体" w:eastAsia="宋体"/>
          <w:szCs w:val="21"/>
        </w:rPr>
      </w:pPr>
    </w:p>
    <w:p>
      <w:pPr>
        <w:jc w:val="right"/>
        <w:rPr>
          <w:rFonts w:ascii="宋体" w:hAnsi="宋体" w:eastAsia="宋体"/>
          <w:szCs w:val="21"/>
        </w:rPr>
      </w:pPr>
      <w:r>
        <w:rPr>
          <w:rFonts w:hint="eastAsia" w:ascii="宋体" w:hAnsi="宋体" w:eastAsia="宋体"/>
          <w:color w:val="000000"/>
          <w:szCs w:val="21"/>
        </w:rPr>
        <w:t>责任编辑：王清玲</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6"/>
        <w:rPr>
          <w:rFonts w:ascii="宋体" w:hAnsi="宋体" w:eastAsia="宋体"/>
        </w:rPr>
      </w:pPr>
      <w:r>
        <w:rPr>
          <w:rStyle w:val="12"/>
        </w:rPr>
        <w:footnoteRef/>
      </w:r>
      <w:r>
        <w:rPr>
          <w:rFonts w:hint="eastAsia"/>
        </w:rPr>
        <w:t xml:space="preserve"> </w:t>
      </w:r>
      <w:r>
        <w:t xml:space="preserve"> </w:t>
      </w:r>
      <w:r>
        <w:rPr>
          <w:rFonts w:hint="eastAsia" w:ascii="宋体" w:hAnsi="宋体" w:eastAsia="宋体"/>
        </w:rPr>
        <w:t>收稿日期：2020年11月10日</w:t>
      </w:r>
    </w:p>
    <w:p>
      <w:pPr>
        <w:pStyle w:val="6"/>
        <w:ind w:left="1110" w:leftChars="100" w:hanging="900" w:hangingChars="500"/>
        <w:rPr>
          <w:rFonts w:ascii="宋体" w:hAnsi="宋体" w:eastAsia="宋体"/>
        </w:rPr>
      </w:pPr>
      <w:r>
        <w:rPr>
          <w:rFonts w:hint="eastAsia" w:ascii="宋体" w:hAnsi="宋体" w:eastAsia="宋体"/>
        </w:rPr>
        <w:t>作者简介：王贝贝（1</w:t>
      </w:r>
      <w:r>
        <w:rPr>
          <w:rFonts w:ascii="宋体" w:hAnsi="宋体" w:eastAsia="宋体"/>
        </w:rPr>
        <w:t>989</w:t>
      </w:r>
      <w:r>
        <w:rPr>
          <w:rFonts w:hint="eastAsia" w:ascii="宋体" w:hAnsi="宋体" w:eastAsia="宋体"/>
          <w:lang w:val="en-US" w:eastAsia="zh-CN"/>
        </w:rPr>
        <w:t>-</w:t>
      </w:r>
      <w:r>
        <w:rPr>
          <w:rFonts w:hint="eastAsia" w:ascii="宋体" w:hAnsi="宋体" w:eastAsia="宋体"/>
        </w:rPr>
        <w:t>），男，山东滨州</w:t>
      </w:r>
      <w:r>
        <w:rPr>
          <w:rFonts w:hint="eastAsia" w:ascii="宋体" w:hAnsi="宋体" w:eastAsia="宋体"/>
          <w:lang w:val="en-US" w:eastAsia="zh-CN"/>
        </w:rPr>
        <w:t>人</w:t>
      </w:r>
      <w:r>
        <w:rPr>
          <w:rFonts w:hint="eastAsia" w:ascii="宋体" w:hAnsi="宋体" w:eastAsia="宋体"/>
        </w:rPr>
        <w:t>，讲师，硕士研究生，</w:t>
      </w:r>
      <w:r>
        <w:rPr>
          <w:rFonts w:hint="eastAsia" w:ascii="宋体" w:hAnsi="宋体" w:eastAsia="宋体"/>
          <w:lang w:val="en-US" w:eastAsia="zh-CN"/>
        </w:rPr>
        <w:t>主要</w:t>
      </w:r>
      <w:r>
        <w:rPr>
          <w:rFonts w:hint="eastAsia" w:ascii="宋体" w:hAnsi="宋体" w:eastAsia="宋体"/>
        </w:rPr>
        <w:t>研究方向：思想政治教育。</w:t>
      </w:r>
    </w:p>
    <w:p>
      <w:pPr>
        <w:pStyle w:val="6"/>
        <w:ind w:left="1110" w:leftChars="100" w:hanging="900" w:hangingChars="500"/>
        <w:rPr>
          <w:rFonts w:ascii="宋体" w:hAnsi="宋体" w:eastAsia="宋体"/>
        </w:rPr>
      </w:pPr>
      <w:r>
        <w:rPr>
          <w:rFonts w:hint="eastAsia" w:ascii="宋体" w:hAnsi="宋体" w:eastAsia="宋体"/>
        </w:rPr>
        <w:t>基金项目：江苏省教育科学“十三五”规划</w:t>
      </w:r>
      <w:r>
        <w:rPr>
          <w:rFonts w:ascii="宋体" w:hAnsi="宋体" w:eastAsia="宋体"/>
        </w:rPr>
        <w:t>2018年度学生专项资助课题（</w:t>
      </w:r>
      <w:r>
        <w:rPr>
          <w:rFonts w:ascii="Times New Roman" w:hAnsi="Times New Roman" w:eastAsia="宋体" w:cs="Times New Roman"/>
        </w:rPr>
        <w:t>X-a/2018/04</w:t>
      </w:r>
      <w:r>
        <w:rPr>
          <w:rFonts w:ascii="宋体" w:hAnsi="宋体" w:eastAsia="宋体"/>
        </w:rPr>
        <w:t>）；</w:t>
      </w:r>
      <w:r>
        <w:rPr>
          <w:rFonts w:hint="eastAsia" w:ascii="宋体" w:hAnsi="宋体" w:eastAsia="宋体"/>
        </w:rPr>
        <w:t>中央</w:t>
      </w:r>
      <w:r>
        <w:rPr>
          <w:rFonts w:ascii="宋体" w:hAnsi="宋体" w:eastAsia="宋体"/>
        </w:rPr>
        <w:t>高校基本科研业务费资助项目：国家助学贷款中的过度需求及其风险管理研究（</w:t>
      </w:r>
      <w:r>
        <w:rPr>
          <w:rFonts w:hint="eastAsia" w:ascii="宋体" w:hAnsi="宋体" w:eastAsia="宋体"/>
        </w:rPr>
        <w:t>2018WA01</w:t>
      </w:r>
      <w:r>
        <w:rPr>
          <w:rFonts w:ascii="宋体" w:hAnsi="宋体" w:eastAsia="宋体"/>
        </w:rPr>
        <w:t>）</w:t>
      </w:r>
      <w:r>
        <w:rPr>
          <w:rFonts w:hint="eastAsia" w:ascii="宋体" w:hAnsi="宋体" w:eastAsia="宋体"/>
        </w:rPr>
        <w:t>；</w:t>
      </w:r>
      <w:r>
        <w:rPr>
          <w:rFonts w:ascii="宋体" w:hAnsi="宋体" w:eastAsia="宋体"/>
        </w:rPr>
        <w:t>中国矿业大学贯彻落实中发31号文件思想政治工作专项课题（</w:t>
      </w:r>
      <w:r>
        <w:rPr>
          <w:rFonts w:ascii="Times New Roman" w:hAnsi="Times New Roman" w:eastAsia="宋体" w:cs="Times New Roman"/>
        </w:rPr>
        <w:t>2017YBXM14</w:t>
      </w:r>
      <w:r>
        <w:rPr>
          <w:rFonts w:ascii="宋体" w:hAnsi="宋体" w:eastAsia="宋体"/>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19D"/>
    <w:rsid w:val="00003BA6"/>
    <w:rsid w:val="00013070"/>
    <w:rsid w:val="00014FB4"/>
    <w:rsid w:val="00040721"/>
    <w:rsid w:val="00044DD5"/>
    <w:rsid w:val="00062734"/>
    <w:rsid w:val="000745AD"/>
    <w:rsid w:val="00085797"/>
    <w:rsid w:val="00093B73"/>
    <w:rsid w:val="000C4172"/>
    <w:rsid w:val="000F4B85"/>
    <w:rsid w:val="00102580"/>
    <w:rsid w:val="00127B17"/>
    <w:rsid w:val="0013133A"/>
    <w:rsid w:val="0013477D"/>
    <w:rsid w:val="00141999"/>
    <w:rsid w:val="00180152"/>
    <w:rsid w:val="001938CB"/>
    <w:rsid w:val="001950CE"/>
    <w:rsid w:val="001D45D0"/>
    <w:rsid w:val="00206187"/>
    <w:rsid w:val="00211F32"/>
    <w:rsid w:val="002215D4"/>
    <w:rsid w:val="00227022"/>
    <w:rsid w:val="002354FE"/>
    <w:rsid w:val="00261658"/>
    <w:rsid w:val="002628F5"/>
    <w:rsid w:val="00272178"/>
    <w:rsid w:val="002C2553"/>
    <w:rsid w:val="002D2CA7"/>
    <w:rsid w:val="002E00AD"/>
    <w:rsid w:val="00310532"/>
    <w:rsid w:val="003855AE"/>
    <w:rsid w:val="0039014A"/>
    <w:rsid w:val="003B561B"/>
    <w:rsid w:val="003B6355"/>
    <w:rsid w:val="003C0503"/>
    <w:rsid w:val="003D1747"/>
    <w:rsid w:val="003E0C86"/>
    <w:rsid w:val="003F7455"/>
    <w:rsid w:val="00413924"/>
    <w:rsid w:val="004158F9"/>
    <w:rsid w:val="00431D29"/>
    <w:rsid w:val="00442DEE"/>
    <w:rsid w:val="004560F4"/>
    <w:rsid w:val="00457F1A"/>
    <w:rsid w:val="00460BD4"/>
    <w:rsid w:val="0046641D"/>
    <w:rsid w:val="00467593"/>
    <w:rsid w:val="004A1EA1"/>
    <w:rsid w:val="004C3D24"/>
    <w:rsid w:val="004E4194"/>
    <w:rsid w:val="004E75E8"/>
    <w:rsid w:val="004F1BA0"/>
    <w:rsid w:val="00525394"/>
    <w:rsid w:val="005402A1"/>
    <w:rsid w:val="00540568"/>
    <w:rsid w:val="00564677"/>
    <w:rsid w:val="005B2B21"/>
    <w:rsid w:val="005D7F1D"/>
    <w:rsid w:val="005F308F"/>
    <w:rsid w:val="005F3447"/>
    <w:rsid w:val="006064B4"/>
    <w:rsid w:val="0062163A"/>
    <w:rsid w:val="00634861"/>
    <w:rsid w:val="00643617"/>
    <w:rsid w:val="00644BBE"/>
    <w:rsid w:val="00650374"/>
    <w:rsid w:val="006823A9"/>
    <w:rsid w:val="006953BE"/>
    <w:rsid w:val="006B5DC1"/>
    <w:rsid w:val="006C088F"/>
    <w:rsid w:val="006E3E39"/>
    <w:rsid w:val="006F47F2"/>
    <w:rsid w:val="0072082B"/>
    <w:rsid w:val="00724F3A"/>
    <w:rsid w:val="00735283"/>
    <w:rsid w:val="00782C2F"/>
    <w:rsid w:val="00791EEB"/>
    <w:rsid w:val="007969C0"/>
    <w:rsid w:val="007A3081"/>
    <w:rsid w:val="008028C6"/>
    <w:rsid w:val="00807D9A"/>
    <w:rsid w:val="00815449"/>
    <w:rsid w:val="0083492F"/>
    <w:rsid w:val="008412CE"/>
    <w:rsid w:val="00855A76"/>
    <w:rsid w:val="008A6555"/>
    <w:rsid w:val="008D26A9"/>
    <w:rsid w:val="008D7E5A"/>
    <w:rsid w:val="0090310E"/>
    <w:rsid w:val="0090663F"/>
    <w:rsid w:val="009135BB"/>
    <w:rsid w:val="009177B6"/>
    <w:rsid w:val="00941456"/>
    <w:rsid w:val="009650B4"/>
    <w:rsid w:val="0097612A"/>
    <w:rsid w:val="009769DD"/>
    <w:rsid w:val="00987C97"/>
    <w:rsid w:val="009A1CA4"/>
    <w:rsid w:val="009B1307"/>
    <w:rsid w:val="009B7712"/>
    <w:rsid w:val="009D29C0"/>
    <w:rsid w:val="009E5977"/>
    <w:rsid w:val="009F03F7"/>
    <w:rsid w:val="00A11C26"/>
    <w:rsid w:val="00A41460"/>
    <w:rsid w:val="00A474FF"/>
    <w:rsid w:val="00A654EC"/>
    <w:rsid w:val="00A707E7"/>
    <w:rsid w:val="00A7385C"/>
    <w:rsid w:val="00AC318F"/>
    <w:rsid w:val="00AC4A49"/>
    <w:rsid w:val="00AE124C"/>
    <w:rsid w:val="00AF0212"/>
    <w:rsid w:val="00AF0308"/>
    <w:rsid w:val="00B143D0"/>
    <w:rsid w:val="00B5013F"/>
    <w:rsid w:val="00B740CA"/>
    <w:rsid w:val="00B76742"/>
    <w:rsid w:val="00B8219D"/>
    <w:rsid w:val="00B87684"/>
    <w:rsid w:val="00B94F90"/>
    <w:rsid w:val="00BA5D56"/>
    <w:rsid w:val="00BD256A"/>
    <w:rsid w:val="00BD2AE3"/>
    <w:rsid w:val="00BE40C3"/>
    <w:rsid w:val="00BF7007"/>
    <w:rsid w:val="00C028FC"/>
    <w:rsid w:val="00C2694D"/>
    <w:rsid w:val="00C66FEC"/>
    <w:rsid w:val="00C84C21"/>
    <w:rsid w:val="00C91BE4"/>
    <w:rsid w:val="00CB565D"/>
    <w:rsid w:val="00CC1599"/>
    <w:rsid w:val="00CC382C"/>
    <w:rsid w:val="00CD0A09"/>
    <w:rsid w:val="00CD1C2C"/>
    <w:rsid w:val="00CD74CA"/>
    <w:rsid w:val="00CD7ED1"/>
    <w:rsid w:val="00CF2DF4"/>
    <w:rsid w:val="00D11403"/>
    <w:rsid w:val="00D23AA5"/>
    <w:rsid w:val="00D24851"/>
    <w:rsid w:val="00D3541E"/>
    <w:rsid w:val="00D455FD"/>
    <w:rsid w:val="00D51E77"/>
    <w:rsid w:val="00D71D41"/>
    <w:rsid w:val="00D93735"/>
    <w:rsid w:val="00D94BCD"/>
    <w:rsid w:val="00DB02B2"/>
    <w:rsid w:val="00E07659"/>
    <w:rsid w:val="00E11F14"/>
    <w:rsid w:val="00E14BE2"/>
    <w:rsid w:val="00E2517F"/>
    <w:rsid w:val="00E3323B"/>
    <w:rsid w:val="00E408BD"/>
    <w:rsid w:val="00E439AD"/>
    <w:rsid w:val="00E5284B"/>
    <w:rsid w:val="00EA18C7"/>
    <w:rsid w:val="00EA21FB"/>
    <w:rsid w:val="00EC308D"/>
    <w:rsid w:val="00EC5B91"/>
    <w:rsid w:val="00EE0D22"/>
    <w:rsid w:val="00EF36AF"/>
    <w:rsid w:val="00F04CF9"/>
    <w:rsid w:val="00F25742"/>
    <w:rsid w:val="00F63DA1"/>
    <w:rsid w:val="00F86C39"/>
    <w:rsid w:val="00FD781D"/>
    <w:rsid w:val="00FE237B"/>
    <w:rsid w:val="00FE7E90"/>
    <w:rsid w:val="2CCF1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semiHidden/>
    <w:unhideWhenUsed/>
    <w:uiPriority w:val="99"/>
    <w:pPr>
      <w:jc w:val="left"/>
    </w:pPr>
  </w:style>
  <w:style w:type="paragraph" w:styleId="3">
    <w:name w:val="Balloon Text"/>
    <w:basedOn w:val="1"/>
    <w:link w:val="15"/>
    <w:semiHidden/>
    <w:unhideWhenUsed/>
    <w:uiPriority w:val="99"/>
    <w:rPr>
      <w:sz w:val="18"/>
      <w:szCs w:val="18"/>
    </w:rPr>
  </w:style>
  <w:style w:type="paragraph" w:styleId="4">
    <w:name w:val="footer"/>
    <w:basedOn w:val="1"/>
    <w:link w:val="14"/>
    <w:unhideWhenUsed/>
    <w:uiPriority w:val="99"/>
    <w:pPr>
      <w:tabs>
        <w:tab w:val="center" w:pos="4153"/>
        <w:tab w:val="right" w:pos="8306"/>
      </w:tabs>
      <w:snapToGrid w:val="0"/>
      <w:jc w:val="left"/>
    </w:pPr>
    <w:rPr>
      <w:sz w:val="18"/>
      <w:szCs w:val="18"/>
    </w:rPr>
  </w:style>
  <w:style w:type="paragraph" w:styleId="5">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6"/>
    <w:semiHidden/>
    <w:unhideWhenUsed/>
    <w:uiPriority w:val="99"/>
    <w:pPr>
      <w:snapToGrid w:val="0"/>
      <w:jc w:val="left"/>
    </w:pPr>
    <w:rPr>
      <w:sz w:val="18"/>
      <w:szCs w:val="18"/>
    </w:rPr>
  </w:style>
  <w:style w:type="paragraph" w:styleId="7">
    <w:name w:val="annotation subject"/>
    <w:basedOn w:val="2"/>
    <w:next w:val="2"/>
    <w:link w:val="18"/>
    <w:semiHidden/>
    <w:unhideWhenUsed/>
    <w:uiPriority w:val="99"/>
    <w:rPr>
      <w:b/>
      <w:bCs/>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annotation reference"/>
    <w:basedOn w:val="10"/>
    <w:semiHidden/>
    <w:unhideWhenUsed/>
    <w:uiPriority w:val="99"/>
    <w:rPr>
      <w:sz w:val="21"/>
      <w:szCs w:val="21"/>
    </w:rPr>
  </w:style>
  <w:style w:type="character" w:styleId="12">
    <w:name w:val="footnote reference"/>
    <w:basedOn w:val="10"/>
    <w:semiHidden/>
    <w:unhideWhenUsed/>
    <w:qFormat/>
    <w:uiPriority w:val="99"/>
    <w:rPr>
      <w:vertAlign w:val="superscript"/>
    </w:rPr>
  </w:style>
  <w:style w:type="character" w:customStyle="1" w:styleId="13">
    <w:name w:val="页眉 字符"/>
    <w:basedOn w:val="10"/>
    <w:link w:val="5"/>
    <w:uiPriority w:val="99"/>
    <w:rPr>
      <w:sz w:val="18"/>
      <w:szCs w:val="18"/>
    </w:rPr>
  </w:style>
  <w:style w:type="character" w:customStyle="1" w:styleId="14">
    <w:name w:val="页脚 字符"/>
    <w:basedOn w:val="10"/>
    <w:link w:val="4"/>
    <w:uiPriority w:val="99"/>
    <w:rPr>
      <w:sz w:val="18"/>
      <w:szCs w:val="18"/>
    </w:rPr>
  </w:style>
  <w:style w:type="character" w:customStyle="1" w:styleId="15">
    <w:name w:val="批注框文本 字符"/>
    <w:basedOn w:val="10"/>
    <w:link w:val="3"/>
    <w:semiHidden/>
    <w:uiPriority w:val="99"/>
    <w:rPr>
      <w:sz w:val="18"/>
      <w:szCs w:val="18"/>
    </w:rPr>
  </w:style>
  <w:style w:type="character" w:customStyle="1" w:styleId="16">
    <w:name w:val="脚注文本 字符"/>
    <w:basedOn w:val="10"/>
    <w:link w:val="6"/>
    <w:semiHidden/>
    <w:uiPriority w:val="99"/>
    <w:rPr>
      <w:sz w:val="18"/>
      <w:szCs w:val="18"/>
    </w:rPr>
  </w:style>
  <w:style w:type="character" w:customStyle="1" w:styleId="17">
    <w:name w:val="批注文字 字符"/>
    <w:basedOn w:val="10"/>
    <w:link w:val="2"/>
    <w:semiHidden/>
    <w:uiPriority w:val="99"/>
  </w:style>
  <w:style w:type="character" w:customStyle="1" w:styleId="18">
    <w:name w:val="批注主题 字符"/>
    <w:basedOn w:val="17"/>
    <w:link w:val="7"/>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4.bin"/><Relationship Id="rId8" Type="http://schemas.openxmlformats.org/officeDocument/2006/relationships/oleObject" Target="embeddings/oleObject3.bin"/><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oleObject" Target="embeddings/oleObject5.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A7B068-6C76-4377-A9D6-51F16E4FBB5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1274</Words>
  <Characters>7262</Characters>
  <Lines>60</Lines>
  <Paragraphs>17</Paragraphs>
  <TotalTime>4653</TotalTime>
  <ScaleCrop>false</ScaleCrop>
  <LinksUpToDate>false</LinksUpToDate>
  <CharactersWithSpaces>8519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2019-03-04T08:41:00Z</dcterms:created>
  <dc:creator>PC</dc:creator>
  <cp:lastModifiedBy>HH</cp:lastModifiedBy>
  <cp:lastPrinted>2021-05-10T11:11:00Z</cp:lastPrinted>
  <dcterms:modified xsi:type="dcterms:W3CDTF">2021-09-16T03:08:38Z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6FAAB2FD3B7D41CBACDB6DAA8001C57B</vt:lpwstr>
  </property>
</Properties>
</file>