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410" w:rsidRPr="00B61A85" w:rsidRDefault="00EB7410" w:rsidP="00EB7410">
      <w:pPr>
        <w:jc w:val="center"/>
        <w:rPr>
          <w:rFonts w:ascii="Arial" w:hAnsi="Arial" w:cs="Arial"/>
          <w:color w:val="333333"/>
          <w:sz w:val="28"/>
          <w:szCs w:val="24"/>
          <w:shd w:val="clear" w:color="auto" w:fill="FFFFFF"/>
        </w:rPr>
      </w:pPr>
      <w:r w:rsidRPr="00B61A85">
        <w:rPr>
          <w:rFonts w:ascii="黑体" w:eastAsia="黑体" w:hAnsi="黑体" w:hint="eastAsia"/>
          <w:sz w:val="32"/>
          <w:szCs w:val="30"/>
        </w:rPr>
        <w:t>现代社会组织薪酬激励机制研究</w:t>
      </w:r>
      <w:r w:rsidR="00DC3934" w:rsidRPr="00B61A85">
        <w:rPr>
          <w:rStyle w:val="a7"/>
          <w:rFonts w:ascii="黑体" w:eastAsia="黑体" w:hAnsi="黑体"/>
          <w:sz w:val="32"/>
          <w:szCs w:val="30"/>
        </w:rPr>
        <w:footnoteReference w:id="2"/>
      </w:r>
    </w:p>
    <w:p w:rsidR="00DC3934" w:rsidRDefault="00EB7410" w:rsidP="00EB7410">
      <w:pPr>
        <w:pStyle w:val="ad"/>
        <w:ind w:firstLineChars="0" w:firstLine="0"/>
        <w:jc w:val="center"/>
        <w:rPr>
          <w:rFonts w:ascii="Times New Roman" w:hAnsi="Times New Roman"/>
        </w:rPr>
      </w:pPr>
      <w:r w:rsidRPr="00EB7410">
        <w:rPr>
          <w:rFonts w:ascii="Times New Roman" w:hAnsi="Times New Roman" w:hint="eastAsia"/>
        </w:rPr>
        <w:t>王爱敏</w:t>
      </w:r>
      <w:r w:rsidR="00DC3934">
        <w:rPr>
          <w:rStyle w:val="a7"/>
          <w:rFonts w:ascii="Times New Roman" w:hAnsi="Times New Roman"/>
        </w:rPr>
        <w:footnoteReference w:id="3"/>
      </w:r>
      <w:r w:rsidR="00B61A85">
        <w:rPr>
          <w:rFonts w:ascii="Times New Roman" w:hAnsi="Times New Roman" w:hint="eastAsia"/>
        </w:rPr>
        <w:t xml:space="preserve"> </w:t>
      </w:r>
      <w:r w:rsidR="00B61A85">
        <w:rPr>
          <w:rFonts w:ascii="Times New Roman" w:hAnsi="Times New Roman" w:hint="eastAsia"/>
        </w:rPr>
        <w:t>李翠</w:t>
      </w:r>
      <w:r w:rsidR="00B61A85">
        <w:rPr>
          <w:rStyle w:val="a7"/>
          <w:rFonts w:ascii="Times New Roman" w:hAnsi="Times New Roman"/>
        </w:rPr>
        <w:footnoteReference w:id="4"/>
      </w:r>
    </w:p>
    <w:p w:rsidR="00EB7410" w:rsidRPr="00EB7410" w:rsidRDefault="00DC3934" w:rsidP="00EB7410">
      <w:pPr>
        <w:pStyle w:val="ad"/>
        <w:ind w:firstLineChars="0" w:firstLine="0"/>
        <w:jc w:val="center"/>
        <w:rPr>
          <w:rFonts w:ascii="Times New Roman" w:hAnsi="Times New Roman"/>
        </w:rPr>
      </w:pPr>
      <w:r>
        <w:rPr>
          <w:rFonts w:ascii="Times New Roman" w:hAnsi="Times New Roman" w:hint="eastAsia"/>
        </w:rPr>
        <w:t>（北京城市学院</w:t>
      </w:r>
      <w:r w:rsidR="00B61A85">
        <w:rPr>
          <w:rFonts w:ascii="Times New Roman" w:hAnsi="Times New Roman" w:hint="eastAsia"/>
        </w:rPr>
        <w:t>经管学部</w:t>
      </w:r>
      <w:r>
        <w:rPr>
          <w:rFonts w:ascii="Times New Roman" w:hAnsi="Times New Roman" w:hint="eastAsia"/>
        </w:rPr>
        <w:t>，北京，</w:t>
      </w:r>
      <w:r>
        <w:rPr>
          <w:rFonts w:ascii="Times New Roman" w:hAnsi="Times New Roman" w:hint="eastAsia"/>
        </w:rPr>
        <w:t>100083</w:t>
      </w:r>
      <w:r>
        <w:rPr>
          <w:rFonts w:ascii="Times New Roman" w:hAnsi="Times New Roman" w:hint="eastAsia"/>
        </w:rPr>
        <w:t>）</w:t>
      </w:r>
    </w:p>
    <w:p w:rsidR="00EB7410" w:rsidRDefault="00EB7410" w:rsidP="00EB7410">
      <w:pPr>
        <w:pStyle w:val="ad"/>
        <w:ind w:firstLineChars="0" w:firstLine="0"/>
        <w:jc w:val="center"/>
        <w:rPr>
          <w:rFonts w:ascii="Times New Roman" w:hAnsi="Times New Roman"/>
          <w:b/>
        </w:rPr>
      </w:pPr>
    </w:p>
    <w:p w:rsidR="00A61A53" w:rsidRPr="003166F4" w:rsidRDefault="00DC3934" w:rsidP="00DC3934">
      <w:pPr>
        <w:ind w:firstLineChars="200" w:firstLine="422"/>
        <w:rPr>
          <w:rFonts w:ascii="Times New Roman" w:eastAsia="仿宋" w:hAnsi="Times New Roman"/>
          <w:szCs w:val="21"/>
        </w:rPr>
      </w:pPr>
      <w:r>
        <w:rPr>
          <w:rFonts w:ascii="Times New Roman" w:hAnsi="Times New Roman" w:hint="eastAsia"/>
          <w:b/>
        </w:rPr>
        <w:t>【</w:t>
      </w:r>
      <w:r w:rsidR="00A61A53" w:rsidRPr="007F3FCF">
        <w:rPr>
          <w:rFonts w:ascii="Times New Roman" w:hAnsi="Times New Roman"/>
          <w:b/>
        </w:rPr>
        <w:t>内容摘要</w:t>
      </w:r>
      <w:r>
        <w:rPr>
          <w:rFonts w:ascii="Times New Roman" w:hAnsi="Times New Roman" w:hint="eastAsia"/>
          <w:b/>
        </w:rPr>
        <w:t>】</w:t>
      </w:r>
      <w:r w:rsidR="00A61A53" w:rsidRPr="003166F4">
        <w:rPr>
          <w:rFonts w:ascii="Times New Roman" w:hAnsi="Times New Roman"/>
          <w:b/>
          <w:szCs w:val="21"/>
        </w:rPr>
        <w:t xml:space="preserve">  </w:t>
      </w:r>
      <w:r w:rsidR="00D67CCD" w:rsidRPr="00D67CCD">
        <w:rPr>
          <w:rFonts w:ascii="宋体" w:hAnsi="宋体" w:hint="eastAsia"/>
        </w:rPr>
        <w:t>在新的历史时期，加强社会建设必须激发社会组织活力。作为社会组织第一资源的人力资源在社会组织运作效率中起着最关键的作用。而社会组织中的人力资源效能并未能得到充分发挥，主要制约瓶颈之一是其薪酬待遇问题，因而，研究改善社会组织人力资源的薪酬制度具有重要的时代意义。</w:t>
      </w:r>
    </w:p>
    <w:p w:rsidR="00A61A53" w:rsidRPr="003166F4" w:rsidRDefault="00DC3934" w:rsidP="00DC3934">
      <w:pPr>
        <w:ind w:firstLineChars="200" w:firstLine="422"/>
        <w:rPr>
          <w:rFonts w:ascii="Times New Roman" w:eastAsia="仿宋" w:hAnsi="Times New Roman"/>
          <w:szCs w:val="21"/>
        </w:rPr>
      </w:pPr>
      <w:r>
        <w:rPr>
          <w:rFonts w:ascii="Times New Roman" w:hAnsi="Times New Roman" w:hint="eastAsia"/>
          <w:b/>
        </w:rPr>
        <w:t>【</w:t>
      </w:r>
      <w:r w:rsidR="00A61A53" w:rsidRPr="007F3FCF">
        <w:rPr>
          <w:rFonts w:ascii="Times New Roman" w:hAnsi="Times New Roman"/>
          <w:b/>
        </w:rPr>
        <w:t>关键词</w:t>
      </w:r>
      <w:r>
        <w:rPr>
          <w:rFonts w:ascii="Times New Roman" w:hAnsi="Times New Roman" w:hint="eastAsia"/>
          <w:b/>
        </w:rPr>
        <w:t>】</w:t>
      </w:r>
      <w:r w:rsidR="00A61A53" w:rsidRPr="003166F4">
        <w:rPr>
          <w:rFonts w:ascii="Times New Roman" w:eastAsia="仿宋" w:hAnsi="Times New Roman"/>
          <w:b/>
          <w:szCs w:val="21"/>
        </w:rPr>
        <w:t xml:space="preserve">  </w:t>
      </w:r>
      <w:r w:rsidR="00D67CCD" w:rsidRPr="00D67CCD">
        <w:rPr>
          <w:rFonts w:ascii="Times New Roman" w:hAnsi="宋体" w:hint="eastAsia"/>
          <w:szCs w:val="21"/>
        </w:rPr>
        <w:t>社会组织</w:t>
      </w:r>
      <w:r>
        <w:rPr>
          <w:rFonts w:ascii="Times New Roman" w:hAnsi="宋体" w:hint="eastAsia"/>
          <w:szCs w:val="21"/>
        </w:rPr>
        <w:t>；</w:t>
      </w:r>
      <w:r w:rsidR="00D67CCD" w:rsidRPr="00D67CCD">
        <w:rPr>
          <w:rFonts w:ascii="Times New Roman" w:hAnsi="宋体" w:hint="eastAsia"/>
          <w:szCs w:val="21"/>
        </w:rPr>
        <w:t>全国性社会组织</w:t>
      </w:r>
      <w:r>
        <w:rPr>
          <w:rFonts w:ascii="Times New Roman" w:hAnsi="宋体" w:hint="eastAsia"/>
          <w:szCs w:val="21"/>
        </w:rPr>
        <w:t>；</w:t>
      </w:r>
      <w:r w:rsidR="00D67CCD" w:rsidRPr="00D67CCD">
        <w:rPr>
          <w:rFonts w:ascii="Times New Roman" w:hAnsi="宋体" w:hint="eastAsia"/>
          <w:szCs w:val="21"/>
        </w:rPr>
        <w:t>薪酬制度</w:t>
      </w:r>
    </w:p>
    <w:p w:rsidR="00D40739" w:rsidRPr="0011206C" w:rsidRDefault="00E20450" w:rsidP="001929C5">
      <w:bookmarkStart w:id="0" w:name="_Toc368969931"/>
      <w:r>
        <w:rPr>
          <w:rFonts w:hint="eastAsia"/>
        </w:rPr>
        <w:t>中图分类号：</w:t>
      </w:r>
      <w:r w:rsidR="0059579E">
        <w:rPr>
          <w:rFonts w:hint="eastAsia"/>
        </w:rPr>
        <w:t>C916</w:t>
      </w:r>
      <w:r>
        <w:rPr>
          <w:rFonts w:hint="eastAsia"/>
        </w:rPr>
        <w:t xml:space="preserve">                </w:t>
      </w:r>
      <w:r>
        <w:rPr>
          <w:rFonts w:hint="eastAsia"/>
        </w:rPr>
        <w:t>文献标识码：</w:t>
      </w:r>
      <w:r>
        <w:rPr>
          <w:rFonts w:hint="eastAsia"/>
        </w:rPr>
        <w:t xml:space="preserve">A                </w:t>
      </w:r>
      <w:r>
        <w:rPr>
          <w:rFonts w:hint="eastAsia"/>
        </w:rPr>
        <w:t>文章编号：</w:t>
      </w:r>
    </w:p>
    <w:p w:rsidR="00C35398" w:rsidRPr="00E20450" w:rsidRDefault="00C35398" w:rsidP="00E20450">
      <w:pPr>
        <w:spacing w:line="400" w:lineRule="exact"/>
        <w:ind w:firstLineChars="200" w:firstLine="420"/>
        <w:rPr>
          <w:rFonts w:asciiTheme="minorEastAsia" w:hAnsiTheme="minorEastAsia" w:cs="Times New Roman"/>
          <w:szCs w:val="21"/>
        </w:rPr>
      </w:pPr>
      <w:r w:rsidRPr="00E20450">
        <w:rPr>
          <w:rFonts w:asciiTheme="minorEastAsia" w:hAnsiTheme="minorEastAsia" w:cs="Times New Roman" w:hint="eastAsia"/>
          <w:szCs w:val="21"/>
        </w:rPr>
        <w:t>党的十八大报告指出，加强社会建设，必须加快推进社会体制改革，加快形成政社分开、权责明确、依法自治的现代社会组织体制。</w:t>
      </w:r>
      <w:r w:rsidR="00164256" w:rsidRPr="00E20450">
        <w:rPr>
          <w:rFonts w:asciiTheme="minorEastAsia" w:hAnsiTheme="minorEastAsia" w:cs="Times New Roman" w:hint="eastAsia"/>
          <w:szCs w:val="21"/>
        </w:rPr>
        <w:t>为更好发挥社会力量在管理社会事务中的作用，就必须激发社会组织活力。而资金、人才、竞争环境等始终是困扰社会组织发展的瓶颈问题。</w:t>
      </w:r>
    </w:p>
    <w:p w:rsidR="00220C3B" w:rsidRPr="00B61A85" w:rsidRDefault="00BF62C6" w:rsidP="00B61A85">
      <w:pPr>
        <w:spacing w:line="400" w:lineRule="exact"/>
        <w:ind w:firstLineChars="200" w:firstLine="482"/>
        <w:jc w:val="left"/>
        <w:rPr>
          <w:rFonts w:asciiTheme="minorEastAsia" w:hAnsiTheme="minorEastAsia" w:cs="Times New Roman"/>
          <w:b/>
          <w:sz w:val="24"/>
        </w:rPr>
      </w:pPr>
      <w:r w:rsidRPr="00B61A85">
        <w:rPr>
          <w:rFonts w:asciiTheme="minorEastAsia" w:hAnsiTheme="minorEastAsia" w:cs="Times New Roman" w:hint="eastAsia"/>
          <w:b/>
          <w:sz w:val="24"/>
        </w:rPr>
        <w:t>一、现代社会组织薪酬激励机制存在的问题</w:t>
      </w:r>
    </w:p>
    <w:p w:rsidR="00220C3B" w:rsidRPr="00B61A85" w:rsidRDefault="00220C3B" w:rsidP="00B61A85">
      <w:pPr>
        <w:spacing w:line="400" w:lineRule="exact"/>
        <w:ind w:firstLineChars="200" w:firstLine="482"/>
        <w:outlineLvl w:val="0"/>
        <w:rPr>
          <w:rFonts w:asciiTheme="minorEastAsia" w:hAnsiTheme="minorEastAsia" w:cs="Times New Roman"/>
          <w:b/>
          <w:sz w:val="24"/>
        </w:rPr>
      </w:pPr>
      <w:r w:rsidRPr="00B61A85">
        <w:rPr>
          <w:rFonts w:asciiTheme="minorEastAsia" w:hAnsiTheme="minorEastAsia" w:cs="Times New Roman" w:hint="eastAsia"/>
          <w:b/>
          <w:sz w:val="24"/>
        </w:rPr>
        <w:t>（一）激励手段单一</w:t>
      </w:r>
    </w:p>
    <w:p w:rsidR="00220C3B" w:rsidRPr="00B61A85" w:rsidRDefault="00220C3B"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hint="eastAsia"/>
        </w:rPr>
        <w:t>由于社会组织的公益性特征，人们过多关注社会组织的非营利性和志愿性。在传统思维方式下，社会组织成员被看作公益人，自愿为他人服务，自愿为社会贡献自己的时间和精力，因而对其激励忽视了物质激励，而过多重视精神激励；重视内在激励，而轻视外在激励，没有关注社会组织成员自身的基本需求，对改善社会组织成员的工资待遇提出质疑。在社会组织运营与管理中没能形成现代人力资源管理理念，没能通过激励理论有效激励成员的积极性。</w:t>
      </w:r>
    </w:p>
    <w:p w:rsidR="00220C3B" w:rsidRPr="00B61A85" w:rsidRDefault="00220C3B" w:rsidP="00B61A85">
      <w:pPr>
        <w:spacing w:line="400" w:lineRule="exact"/>
        <w:ind w:firstLineChars="200" w:firstLine="482"/>
        <w:jc w:val="left"/>
        <w:rPr>
          <w:rFonts w:asciiTheme="minorEastAsia" w:hAnsiTheme="minorEastAsia" w:cs="Times New Roman"/>
          <w:b/>
          <w:sz w:val="24"/>
        </w:rPr>
      </w:pPr>
      <w:r w:rsidRPr="00B61A85">
        <w:rPr>
          <w:rFonts w:asciiTheme="minorEastAsia" w:hAnsiTheme="minorEastAsia" w:cs="Times New Roman" w:hint="eastAsia"/>
          <w:b/>
          <w:sz w:val="24"/>
        </w:rPr>
        <w:t>（二）激励手段倒置</w:t>
      </w:r>
    </w:p>
    <w:p w:rsidR="00220C3B" w:rsidRPr="00B61A85" w:rsidRDefault="00220C3B"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hint="eastAsia"/>
        </w:rPr>
        <w:t>根据美国学者奥尔德弗ERG理论，生存的需求、相互关系的需求和成长发展是人类的三大需要。就政府、企业、社会组织的激励比较而言，</w:t>
      </w:r>
      <w:r w:rsidR="005B0947" w:rsidRPr="00B61A85">
        <w:rPr>
          <w:rFonts w:asciiTheme="minorEastAsia" w:hAnsiTheme="minorEastAsia" w:cs="Times New Roman" w:hint="eastAsia"/>
        </w:rPr>
        <w:t>满足物质生活方面需求是生存层次，在此方面，激励最大的是企业，其次是政府，激励最小的是社会组织</w:t>
      </w:r>
      <w:r w:rsidRPr="00B61A85">
        <w:rPr>
          <w:rFonts w:asciiTheme="minorEastAsia" w:hAnsiTheme="minorEastAsia" w:cs="Times New Roman" w:hint="eastAsia"/>
        </w:rPr>
        <w:t>；</w:t>
      </w:r>
      <w:r w:rsidR="00C84889" w:rsidRPr="00B61A85">
        <w:rPr>
          <w:rFonts w:asciiTheme="minorEastAsia" w:hAnsiTheme="minorEastAsia" w:cs="Times New Roman" w:hint="eastAsia"/>
        </w:rPr>
        <w:t>在自尊及社会地位需求层次上，</w:t>
      </w:r>
      <w:r w:rsidRPr="00B61A85">
        <w:rPr>
          <w:rFonts w:asciiTheme="minorEastAsia" w:hAnsiTheme="minorEastAsia" w:cs="Times New Roman" w:hint="eastAsia"/>
        </w:rPr>
        <w:t>激励程度的大小依次排序为：政府、企业、社会组织；在成长发展的层次上，即自我实现的激励而言，政府和企业的激励程度同样大于社会组织（表</w:t>
      </w:r>
      <w:r w:rsidR="00BF62C6" w:rsidRPr="00B61A85">
        <w:rPr>
          <w:rFonts w:asciiTheme="minorEastAsia" w:hAnsiTheme="minorEastAsia" w:cs="Times New Roman" w:hint="eastAsia"/>
        </w:rPr>
        <w:t>1</w:t>
      </w:r>
      <w:r w:rsidRPr="00B61A85">
        <w:rPr>
          <w:rFonts w:asciiTheme="minorEastAsia" w:hAnsiTheme="minorEastAsia" w:cs="Times New Roman" w:hint="eastAsia"/>
        </w:rPr>
        <w:t>）。</w:t>
      </w:r>
    </w:p>
    <w:p w:rsidR="00B61A85" w:rsidRDefault="00B61A85" w:rsidP="00220C3B">
      <w:pPr>
        <w:autoSpaceDE w:val="0"/>
        <w:autoSpaceDN w:val="0"/>
        <w:adjustRightInd w:val="0"/>
        <w:spacing w:line="400" w:lineRule="exact"/>
        <w:jc w:val="center"/>
        <w:rPr>
          <w:rFonts w:asciiTheme="minorEastAsia" w:hAnsiTheme="minorEastAsia" w:cs="ArialUnicodeMS"/>
          <w:kern w:val="0"/>
          <w:szCs w:val="24"/>
        </w:rPr>
      </w:pPr>
    </w:p>
    <w:p w:rsidR="00B61A85" w:rsidRDefault="00B61A85" w:rsidP="00220C3B">
      <w:pPr>
        <w:autoSpaceDE w:val="0"/>
        <w:autoSpaceDN w:val="0"/>
        <w:adjustRightInd w:val="0"/>
        <w:spacing w:line="400" w:lineRule="exact"/>
        <w:jc w:val="center"/>
        <w:rPr>
          <w:rFonts w:asciiTheme="minorEastAsia" w:hAnsiTheme="minorEastAsia" w:cs="ArialUnicodeMS"/>
          <w:kern w:val="0"/>
          <w:szCs w:val="24"/>
        </w:rPr>
      </w:pPr>
    </w:p>
    <w:p w:rsidR="00B61A85" w:rsidRDefault="00B61A85" w:rsidP="00220C3B">
      <w:pPr>
        <w:autoSpaceDE w:val="0"/>
        <w:autoSpaceDN w:val="0"/>
        <w:adjustRightInd w:val="0"/>
        <w:spacing w:line="400" w:lineRule="exact"/>
        <w:jc w:val="center"/>
        <w:rPr>
          <w:rFonts w:asciiTheme="minorEastAsia" w:hAnsiTheme="minorEastAsia" w:cs="ArialUnicodeMS"/>
          <w:kern w:val="0"/>
          <w:szCs w:val="24"/>
        </w:rPr>
      </w:pPr>
    </w:p>
    <w:p w:rsidR="00220C3B" w:rsidRPr="00D607B2" w:rsidRDefault="00220C3B" w:rsidP="00220C3B">
      <w:pPr>
        <w:autoSpaceDE w:val="0"/>
        <w:autoSpaceDN w:val="0"/>
        <w:adjustRightInd w:val="0"/>
        <w:spacing w:line="400" w:lineRule="exact"/>
        <w:jc w:val="center"/>
        <w:rPr>
          <w:rFonts w:asciiTheme="minorEastAsia" w:hAnsiTheme="minorEastAsia" w:cs="ArialUnicodeMS"/>
          <w:kern w:val="0"/>
          <w:szCs w:val="24"/>
        </w:rPr>
      </w:pPr>
      <w:r w:rsidRPr="00D607B2">
        <w:rPr>
          <w:rFonts w:asciiTheme="minorEastAsia" w:hAnsiTheme="minorEastAsia" w:cs="ArialUnicodeMS" w:hint="eastAsia"/>
          <w:kern w:val="0"/>
          <w:szCs w:val="24"/>
        </w:rPr>
        <w:t>表</w:t>
      </w:r>
      <w:r w:rsidR="00BF62C6">
        <w:rPr>
          <w:rFonts w:asciiTheme="minorEastAsia" w:hAnsiTheme="minorEastAsia" w:cs="ArialUnicodeMS" w:hint="eastAsia"/>
          <w:kern w:val="0"/>
          <w:szCs w:val="24"/>
        </w:rPr>
        <w:t>1</w:t>
      </w:r>
      <w:r w:rsidR="009A363C">
        <w:rPr>
          <w:rFonts w:asciiTheme="minorEastAsia" w:hAnsiTheme="minorEastAsia" w:cs="ArialUnicodeMS" w:hint="eastAsia"/>
          <w:kern w:val="0"/>
          <w:szCs w:val="24"/>
        </w:rPr>
        <w:t xml:space="preserve"> </w:t>
      </w:r>
      <w:r w:rsidRPr="00D607B2">
        <w:rPr>
          <w:rFonts w:asciiTheme="minorEastAsia" w:hAnsiTheme="minorEastAsia" w:cs="ArialUnicodeMS" w:hint="eastAsia"/>
          <w:kern w:val="0"/>
          <w:szCs w:val="24"/>
        </w:rPr>
        <w:t>基于ERG理论的不同类型组织的激励机制比较</w:t>
      </w:r>
    </w:p>
    <w:tbl>
      <w:tblPr>
        <w:tblW w:w="0" w:type="auto"/>
        <w:tblBorders>
          <w:top w:val="single" w:sz="4" w:space="0" w:color="auto"/>
          <w:bottom w:val="single" w:sz="4" w:space="0" w:color="auto"/>
          <w:insideH w:val="single" w:sz="4" w:space="0" w:color="auto"/>
          <w:insideV w:val="single" w:sz="4" w:space="0" w:color="auto"/>
        </w:tblBorders>
        <w:tblLook w:val="04A0"/>
      </w:tblPr>
      <w:tblGrid>
        <w:gridCol w:w="2085"/>
        <w:gridCol w:w="2084"/>
        <w:gridCol w:w="2085"/>
        <w:gridCol w:w="2085"/>
      </w:tblGrid>
      <w:tr w:rsidR="00220C3B" w:rsidRPr="00D607B2" w:rsidTr="005712E1">
        <w:tc>
          <w:tcPr>
            <w:tcW w:w="2130" w:type="dxa"/>
            <w:vMerge w:val="restart"/>
            <w:vAlign w:val="center"/>
          </w:tcPr>
          <w:p w:rsidR="00220C3B" w:rsidRPr="00D607B2" w:rsidRDefault="00220C3B" w:rsidP="001600A7">
            <w:pPr>
              <w:autoSpaceDE w:val="0"/>
              <w:autoSpaceDN w:val="0"/>
              <w:adjustRightInd w:val="0"/>
              <w:spacing w:line="400" w:lineRule="exact"/>
              <w:jc w:val="center"/>
              <w:rPr>
                <w:rFonts w:asciiTheme="minorEastAsia" w:hAnsiTheme="minorEastAsia" w:cs="ArialUnicodeMS"/>
                <w:kern w:val="0"/>
                <w:szCs w:val="24"/>
              </w:rPr>
            </w:pPr>
            <w:r w:rsidRPr="00D607B2">
              <w:rPr>
                <w:rFonts w:asciiTheme="minorEastAsia" w:hAnsiTheme="minorEastAsia" w:cs="ArialUnicodeMS" w:hint="eastAsia"/>
                <w:kern w:val="0"/>
                <w:szCs w:val="24"/>
              </w:rPr>
              <w:t>需求层次</w:t>
            </w:r>
          </w:p>
        </w:tc>
        <w:tc>
          <w:tcPr>
            <w:tcW w:w="6392" w:type="dxa"/>
            <w:gridSpan w:val="3"/>
            <w:vAlign w:val="center"/>
          </w:tcPr>
          <w:p w:rsidR="00220C3B" w:rsidRPr="00D607B2" w:rsidRDefault="00220C3B" w:rsidP="001600A7">
            <w:pPr>
              <w:autoSpaceDE w:val="0"/>
              <w:autoSpaceDN w:val="0"/>
              <w:adjustRightInd w:val="0"/>
              <w:spacing w:line="400" w:lineRule="exact"/>
              <w:jc w:val="center"/>
              <w:rPr>
                <w:rFonts w:asciiTheme="minorEastAsia" w:hAnsiTheme="minorEastAsia" w:cs="ArialUnicodeMS"/>
                <w:kern w:val="0"/>
                <w:szCs w:val="24"/>
              </w:rPr>
            </w:pPr>
            <w:r w:rsidRPr="00D607B2">
              <w:rPr>
                <w:rFonts w:asciiTheme="minorEastAsia" w:hAnsiTheme="minorEastAsia" w:cs="ArialUnicodeMS" w:hint="eastAsia"/>
                <w:kern w:val="0"/>
                <w:szCs w:val="24"/>
              </w:rPr>
              <w:t>激励机制</w:t>
            </w:r>
          </w:p>
        </w:tc>
      </w:tr>
      <w:tr w:rsidR="00220C3B" w:rsidRPr="00D607B2" w:rsidTr="005712E1">
        <w:trPr>
          <w:trHeight w:val="70"/>
        </w:trPr>
        <w:tc>
          <w:tcPr>
            <w:tcW w:w="2130" w:type="dxa"/>
            <w:vMerge/>
          </w:tcPr>
          <w:p w:rsidR="00220C3B" w:rsidRPr="00D607B2" w:rsidRDefault="00220C3B" w:rsidP="001600A7">
            <w:pPr>
              <w:autoSpaceDE w:val="0"/>
              <w:autoSpaceDN w:val="0"/>
              <w:adjustRightInd w:val="0"/>
              <w:spacing w:line="400" w:lineRule="exact"/>
              <w:jc w:val="left"/>
              <w:rPr>
                <w:rFonts w:asciiTheme="minorEastAsia" w:hAnsiTheme="minorEastAsia" w:cs="ArialUnicodeMS"/>
                <w:kern w:val="0"/>
                <w:szCs w:val="24"/>
              </w:rPr>
            </w:pPr>
          </w:p>
        </w:tc>
        <w:tc>
          <w:tcPr>
            <w:tcW w:w="2130" w:type="dxa"/>
            <w:vAlign w:val="center"/>
          </w:tcPr>
          <w:p w:rsidR="00220C3B" w:rsidRPr="00D607B2" w:rsidRDefault="00220C3B" w:rsidP="001600A7">
            <w:pPr>
              <w:autoSpaceDE w:val="0"/>
              <w:autoSpaceDN w:val="0"/>
              <w:adjustRightInd w:val="0"/>
              <w:spacing w:line="400" w:lineRule="exact"/>
              <w:jc w:val="center"/>
              <w:rPr>
                <w:rFonts w:asciiTheme="minorEastAsia" w:hAnsiTheme="minorEastAsia" w:cs="ArialUnicodeMS"/>
                <w:kern w:val="0"/>
                <w:szCs w:val="24"/>
              </w:rPr>
            </w:pPr>
            <w:r w:rsidRPr="00D607B2">
              <w:rPr>
                <w:rFonts w:asciiTheme="minorEastAsia" w:hAnsiTheme="minorEastAsia" w:cs="ArialUnicodeMS" w:hint="eastAsia"/>
                <w:kern w:val="0"/>
                <w:szCs w:val="24"/>
              </w:rPr>
              <w:t>政府</w:t>
            </w:r>
          </w:p>
        </w:tc>
        <w:tc>
          <w:tcPr>
            <w:tcW w:w="2131" w:type="dxa"/>
            <w:vAlign w:val="center"/>
          </w:tcPr>
          <w:p w:rsidR="00220C3B" w:rsidRPr="00D607B2" w:rsidRDefault="00220C3B" w:rsidP="001600A7">
            <w:pPr>
              <w:autoSpaceDE w:val="0"/>
              <w:autoSpaceDN w:val="0"/>
              <w:adjustRightInd w:val="0"/>
              <w:spacing w:line="400" w:lineRule="exact"/>
              <w:jc w:val="center"/>
              <w:rPr>
                <w:rFonts w:asciiTheme="minorEastAsia" w:hAnsiTheme="minorEastAsia" w:cs="ArialUnicodeMS"/>
                <w:kern w:val="0"/>
                <w:szCs w:val="24"/>
              </w:rPr>
            </w:pPr>
            <w:r w:rsidRPr="00D607B2">
              <w:rPr>
                <w:rFonts w:asciiTheme="minorEastAsia" w:hAnsiTheme="minorEastAsia" w:cs="ArialUnicodeMS" w:hint="eastAsia"/>
                <w:kern w:val="0"/>
                <w:szCs w:val="24"/>
              </w:rPr>
              <w:t>企业</w:t>
            </w:r>
          </w:p>
        </w:tc>
        <w:tc>
          <w:tcPr>
            <w:tcW w:w="2131" w:type="dxa"/>
            <w:vAlign w:val="center"/>
          </w:tcPr>
          <w:p w:rsidR="00220C3B" w:rsidRPr="00D607B2" w:rsidRDefault="00220C3B" w:rsidP="001600A7">
            <w:pPr>
              <w:autoSpaceDE w:val="0"/>
              <w:autoSpaceDN w:val="0"/>
              <w:adjustRightInd w:val="0"/>
              <w:spacing w:line="400" w:lineRule="exact"/>
              <w:jc w:val="center"/>
              <w:rPr>
                <w:rFonts w:asciiTheme="minorEastAsia" w:hAnsiTheme="minorEastAsia" w:cs="ArialUnicodeMS"/>
                <w:kern w:val="0"/>
                <w:szCs w:val="24"/>
              </w:rPr>
            </w:pPr>
            <w:r w:rsidRPr="00D607B2">
              <w:rPr>
                <w:rFonts w:asciiTheme="minorEastAsia" w:hAnsiTheme="minorEastAsia" w:cs="ArialUnicodeMS" w:hint="eastAsia"/>
                <w:kern w:val="0"/>
                <w:szCs w:val="24"/>
              </w:rPr>
              <w:t>社会组织</w:t>
            </w:r>
          </w:p>
        </w:tc>
      </w:tr>
      <w:tr w:rsidR="00220C3B" w:rsidRPr="00D607B2" w:rsidTr="005712E1">
        <w:tc>
          <w:tcPr>
            <w:tcW w:w="2130" w:type="dxa"/>
          </w:tcPr>
          <w:p w:rsidR="00220C3B" w:rsidRPr="00D607B2" w:rsidRDefault="00220C3B" w:rsidP="001600A7">
            <w:pPr>
              <w:autoSpaceDE w:val="0"/>
              <w:autoSpaceDN w:val="0"/>
              <w:adjustRightInd w:val="0"/>
              <w:spacing w:line="400" w:lineRule="exact"/>
              <w:jc w:val="left"/>
              <w:rPr>
                <w:rFonts w:asciiTheme="minorEastAsia" w:hAnsiTheme="minorEastAsia" w:cs="ArialUnicodeMS"/>
                <w:kern w:val="0"/>
                <w:szCs w:val="24"/>
              </w:rPr>
            </w:pPr>
            <w:r w:rsidRPr="00D607B2">
              <w:rPr>
                <w:rFonts w:asciiTheme="minorEastAsia" w:hAnsiTheme="minorEastAsia" w:cs="ArialUnicodeMS" w:hint="eastAsia"/>
                <w:kern w:val="0"/>
                <w:szCs w:val="24"/>
              </w:rPr>
              <w:t>生存</w:t>
            </w:r>
          </w:p>
        </w:tc>
        <w:tc>
          <w:tcPr>
            <w:tcW w:w="2130" w:type="dxa"/>
          </w:tcPr>
          <w:p w:rsidR="00220C3B" w:rsidRPr="00D607B2" w:rsidRDefault="00CE54F1" w:rsidP="001600A7">
            <w:pPr>
              <w:autoSpaceDE w:val="0"/>
              <w:autoSpaceDN w:val="0"/>
              <w:adjustRightInd w:val="0"/>
              <w:spacing w:line="400" w:lineRule="exact"/>
              <w:jc w:val="left"/>
              <w:rPr>
                <w:rFonts w:asciiTheme="minorEastAsia" w:hAnsiTheme="minorEastAsia" w:cs="ArialUnicodeMS"/>
                <w:kern w:val="0"/>
                <w:szCs w:val="24"/>
              </w:rPr>
            </w:pPr>
            <w:r>
              <w:rPr>
                <w:rFonts w:asciiTheme="minorEastAsia" w:hAnsiTheme="minorEastAsia" w:cs="ArialUnicodeMS"/>
                <w:noProof/>
                <w:kern w:val="0"/>
                <w:szCs w:val="24"/>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2066" type="#_x0000_t12" style="position:absolute;margin-left:33.05pt;margin-top:4.6pt;width:9pt;height:10.5pt;z-index:251676672;mso-position-horizontal-relative:text;mso-position-vertical-relative:text" filled="f"/>
              </w:pict>
            </w:r>
            <w:r>
              <w:rPr>
                <w:rFonts w:asciiTheme="minorEastAsia" w:hAnsiTheme="minorEastAsia" w:cs="ArialUnicodeMS"/>
                <w:noProof/>
                <w:kern w:val="0"/>
                <w:szCs w:val="24"/>
              </w:rPr>
              <w:pict>
                <v:shape id="_x0000_s2067" type="#_x0000_t12" style="position:absolute;margin-left:53.3pt;margin-top:4.6pt;width:9pt;height:10.5pt;z-index:251677696;mso-position-horizontal-relative:text;mso-position-vertical-relative:text" filled="f"/>
              </w:pict>
            </w:r>
          </w:p>
        </w:tc>
        <w:tc>
          <w:tcPr>
            <w:tcW w:w="2131" w:type="dxa"/>
          </w:tcPr>
          <w:p w:rsidR="00220C3B" w:rsidRPr="00D607B2" w:rsidRDefault="00CE54F1" w:rsidP="001600A7">
            <w:pPr>
              <w:autoSpaceDE w:val="0"/>
              <w:autoSpaceDN w:val="0"/>
              <w:adjustRightInd w:val="0"/>
              <w:spacing w:line="400" w:lineRule="exact"/>
              <w:jc w:val="left"/>
              <w:rPr>
                <w:rFonts w:asciiTheme="minorEastAsia" w:hAnsiTheme="minorEastAsia" w:cs="ArialUnicodeMS"/>
                <w:kern w:val="0"/>
                <w:szCs w:val="24"/>
              </w:rPr>
            </w:pPr>
            <w:r>
              <w:rPr>
                <w:rFonts w:asciiTheme="minorEastAsia" w:hAnsiTheme="minorEastAsia" w:cs="ArialUnicodeMS"/>
                <w:noProof/>
                <w:kern w:val="0"/>
                <w:szCs w:val="24"/>
              </w:rPr>
              <w:pict>
                <v:shape id="_x0000_s2068" type="#_x0000_t12" style="position:absolute;margin-left:24pt;margin-top:5.35pt;width:9pt;height:10.5pt;z-index:251678720;mso-position-horizontal-relative:text;mso-position-vertical-relative:text" filled="f"/>
              </w:pict>
            </w:r>
            <w:r>
              <w:rPr>
                <w:rFonts w:asciiTheme="minorEastAsia" w:hAnsiTheme="minorEastAsia" w:cs="ArialUnicodeMS"/>
                <w:noProof/>
                <w:kern w:val="0"/>
                <w:szCs w:val="24"/>
              </w:rPr>
              <w:pict>
                <v:shape id="_x0000_s2070" type="#_x0000_t12" style="position:absolute;margin-left:65.25pt;margin-top:5.35pt;width:9pt;height:10.5pt;z-index:251680768;mso-position-horizontal-relative:text;mso-position-vertical-relative:text" filled="f"/>
              </w:pict>
            </w:r>
            <w:r>
              <w:rPr>
                <w:rFonts w:asciiTheme="minorEastAsia" w:hAnsiTheme="minorEastAsia" w:cs="ArialUnicodeMS"/>
                <w:noProof/>
                <w:kern w:val="0"/>
                <w:szCs w:val="24"/>
              </w:rPr>
              <w:pict>
                <v:shape id="_x0000_s2069" type="#_x0000_t12" style="position:absolute;margin-left:44.25pt;margin-top:5.35pt;width:9pt;height:10.5pt;z-index:251679744;mso-position-horizontal-relative:text;mso-position-vertical-relative:text" filled="f"/>
              </w:pict>
            </w:r>
          </w:p>
        </w:tc>
        <w:tc>
          <w:tcPr>
            <w:tcW w:w="2131" w:type="dxa"/>
          </w:tcPr>
          <w:p w:rsidR="00220C3B" w:rsidRPr="00D607B2" w:rsidRDefault="00CE54F1" w:rsidP="001600A7">
            <w:pPr>
              <w:autoSpaceDE w:val="0"/>
              <w:autoSpaceDN w:val="0"/>
              <w:adjustRightInd w:val="0"/>
              <w:spacing w:line="400" w:lineRule="exact"/>
              <w:jc w:val="left"/>
              <w:rPr>
                <w:rFonts w:asciiTheme="minorEastAsia" w:hAnsiTheme="minorEastAsia" w:cs="ArialUnicodeMS"/>
                <w:kern w:val="0"/>
                <w:szCs w:val="24"/>
              </w:rPr>
            </w:pPr>
            <w:r>
              <w:rPr>
                <w:rFonts w:asciiTheme="minorEastAsia" w:hAnsiTheme="minorEastAsia" w:cs="ArialUnicodeMS"/>
                <w:noProof/>
                <w:kern w:val="0"/>
                <w:szCs w:val="24"/>
              </w:rPr>
              <w:pict>
                <v:shape id="_x0000_s2071" type="#_x0000_t12" style="position:absolute;margin-left:42.65pt;margin-top:5.35pt;width:9pt;height:10.5pt;z-index:251681792;mso-position-horizontal-relative:text;mso-position-vertical-relative:text" filled="f"/>
              </w:pict>
            </w:r>
          </w:p>
        </w:tc>
      </w:tr>
      <w:tr w:rsidR="00220C3B" w:rsidRPr="00D607B2" w:rsidTr="005712E1">
        <w:tc>
          <w:tcPr>
            <w:tcW w:w="2130" w:type="dxa"/>
          </w:tcPr>
          <w:p w:rsidR="00220C3B" w:rsidRPr="00D607B2" w:rsidRDefault="00220C3B" w:rsidP="001600A7">
            <w:pPr>
              <w:autoSpaceDE w:val="0"/>
              <w:autoSpaceDN w:val="0"/>
              <w:adjustRightInd w:val="0"/>
              <w:spacing w:line="400" w:lineRule="exact"/>
              <w:jc w:val="left"/>
              <w:rPr>
                <w:rFonts w:asciiTheme="minorEastAsia" w:hAnsiTheme="minorEastAsia" w:cs="ArialUnicodeMS"/>
                <w:kern w:val="0"/>
                <w:szCs w:val="24"/>
              </w:rPr>
            </w:pPr>
            <w:r w:rsidRPr="00D607B2">
              <w:rPr>
                <w:rFonts w:asciiTheme="minorEastAsia" w:hAnsiTheme="minorEastAsia" w:cs="ArialUnicodeMS" w:hint="eastAsia"/>
                <w:kern w:val="0"/>
                <w:szCs w:val="24"/>
              </w:rPr>
              <w:t>相互关系</w:t>
            </w:r>
          </w:p>
        </w:tc>
        <w:tc>
          <w:tcPr>
            <w:tcW w:w="2130" w:type="dxa"/>
          </w:tcPr>
          <w:p w:rsidR="00220C3B" w:rsidRPr="00D607B2" w:rsidRDefault="00CE54F1" w:rsidP="001600A7">
            <w:pPr>
              <w:autoSpaceDE w:val="0"/>
              <w:autoSpaceDN w:val="0"/>
              <w:adjustRightInd w:val="0"/>
              <w:spacing w:line="400" w:lineRule="exact"/>
              <w:jc w:val="left"/>
              <w:rPr>
                <w:rFonts w:asciiTheme="minorEastAsia" w:hAnsiTheme="minorEastAsia" w:cs="ArialUnicodeMS"/>
                <w:kern w:val="0"/>
                <w:szCs w:val="24"/>
              </w:rPr>
            </w:pPr>
            <w:r>
              <w:rPr>
                <w:rFonts w:asciiTheme="minorEastAsia" w:hAnsiTheme="minorEastAsia" w:cs="ArialUnicodeMS"/>
                <w:noProof/>
                <w:kern w:val="0"/>
                <w:szCs w:val="24"/>
              </w:rPr>
              <w:pict>
                <v:shape id="_x0000_s2072" type="#_x0000_t12" style="position:absolute;margin-left:24.05pt;margin-top:5.1pt;width:9pt;height:10.5pt;z-index:251682816;mso-position-horizontal-relative:text;mso-position-vertical-relative:text" filled="f"/>
              </w:pict>
            </w:r>
            <w:r>
              <w:rPr>
                <w:rFonts w:asciiTheme="minorEastAsia" w:hAnsiTheme="minorEastAsia" w:cs="ArialUnicodeMS"/>
                <w:noProof/>
                <w:kern w:val="0"/>
                <w:szCs w:val="24"/>
              </w:rPr>
              <w:pict>
                <v:shape id="_x0000_s2074" type="#_x0000_t12" style="position:absolute;margin-left:65.3pt;margin-top:5.1pt;width:9pt;height:10.5pt;z-index:251684864;mso-position-horizontal-relative:text;mso-position-vertical-relative:text" filled="f"/>
              </w:pict>
            </w:r>
            <w:r>
              <w:rPr>
                <w:rFonts w:asciiTheme="minorEastAsia" w:hAnsiTheme="minorEastAsia" w:cs="ArialUnicodeMS"/>
                <w:noProof/>
                <w:kern w:val="0"/>
                <w:szCs w:val="24"/>
              </w:rPr>
              <w:pict>
                <v:shape id="_x0000_s2073" type="#_x0000_t12" style="position:absolute;margin-left:44.3pt;margin-top:5.1pt;width:9pt;height:10.5pt;z-index:251683840;mso-position-horizontal-relative:text;mso-position-vertical-relative:text" filled="f"/>
              </w:pict>
            </w:r>
          </w:p>
        </w:tc>
        <w:tc>
          <w:tcPr>
            <w:tcW w:w="2131" w:type="dxa"/>
          </w:tcPr>
          <w:p w:rsidR="00220C3B" w:rsidRPr="00D607B2" w:rsidRDefault="00CE54F1" w:rsidP="001600A7">
            <w:pPr>
              <w:autoSpaceDE w:val="0"/>
              <w:autoSpaceDN w:val="0"/>
              <w:adjustRightInd w:val="0"/>
              <w:spacing w:line="400" w:lineRule="exact"/>
              <w:jc w:val="left"/>
              <w:rPr>
                <w:rFonts w:asciiTheme="minorEastAsia" w:hAnsiTheme="minorEastAsia" w:cs="ArialUnicodeMS"/>
                <w:kern w:val="0"/>
                <w:szCs w:val="24"/>
              </w:rPr>
            </w:pPr>
            <w:r>
              <w:rPr>
                <w:rFonts w:asciiTheme="minorEastAsia" w:hAnsiTheme="minorEastAsia" w:cs="ArialUnicodeMS"/>
                <w:noProof/>
                <w:kern w:val="0"/>
                <w:szCs w:val="24"/>
              </w:rPr>
              <w:pict>
                <v:shape id="_x0000_s2075" type="#_x0000_t12" style="position:absolute;margin-left:33.75pt;margin-top:5.1pt;width:9pt;height:10.5pt;z-index:251685888;mso-position-horizontal-relative:text;mso-position-vertical-relative:text" filled="f"/>
              </w:pict>
            </w:r>
            <w:r>
              <w:rPr>
                <w:rFonts w:asciiTheme="minorEastAsia" w:hAnsiTheme="minorEastAsia" w:cs="ArialUnicodeMS"/>
                <w:noProof/>
                <w:kern w:val="0"/>
                <w:szCs w:val="24"/>
              </w:rPr>
              <w:pict>
                <v:shape id="_x0000_s2076" type="#_x0000_t12" style="position:absolute;margin-left:54pt;margin-top:5.1pt;width:9pt;height:10.5pt;z-index:251686912;mso-position-horizontal-relative:text;mso-position-vertical-relative:text" filled="f"/>
              </w:pict>
            </w:r>
          </w:p>
        </w:tc>
        <w:tc>
          <w:tcPr>
            <w:tcW w:w="2131" w:type="dxa"/>
          </w:tcPr>
          <w:p w:rsidR="00220C3B" w:rsidRPr="00D607B2" w:rsidRDefault="00CE54F1" w:rsidP="001600A7">
            <w:pPr>
              <w:autoSpaceDE w:val="0"/>
              <w:autoSpaceDN w:val="0"/>
              <w:adjustRightInd w:val="0"/>
              <w:spacing w:line="400" w:lineRule="exact"/>
              <w:jc w:val="left"/>
              <w:rPr>
                <w:rFonts w:asciiTheme="minorEastAsia" w:hAnsiTheme="minorEastAsia" w:cs="ArialUnicodeMS"/>
                <w:kern w:val="0"/>
                <w:szCs w:val="24"/>
              </w:rPr>
            </w:pPr>
            <w:r>
              <w:rPr>
                <w:rFonts w:asciiTheme="minorEastAsia" w:hAnsiTheme="minorEastAsia" w:cs="ArialUnicodeMS"/>
                <w:noProof/>
                <w:kern w:val="0"/>
                <w:szCs w:val="24"/>
              </w:rPr>
              <w:pict>
                <v:shape id="_x0000_s2083" type="#_x0000_t12" style="position:absolute;margin-left:43.4pt;margin-top:5.1pt;width:9pt;height:10.5pt;z-index:251694080;mso-position-horizontal-relative:text;mso-position-vertical-relative:text" filled="f"/>
              </w:pict>
            </w:r>
          </w:p>
        </w:tc>
      </w:tr>
      <w:tr w:rsidR="00220C3B" w:rsidRPr="00D607B2" w:rsidTr="005712E1">
        <w:tc>
          <w:tcPr>
            <w:tcW w:w="2130" w:type="dxa"/>
          </w:tcPr>
          <w:p w:rsidR="00220C3B" w:rsidRPr="00D607B2" w:rsidRDefault="00220C3B" w:rsidP="001600A7">
            <w:pPr>
              <w:autoSpaceDE w:val="0"/>
              <w:autoSpaceDN w:val="0"/>
              <w:adjustRightInd w:val="0"/>
              <w:spacing w:line="400" w:lineRule="exact"/>
              <w:jc w:val="left"/>
              <w:rPr>
                <w:rFonts w:asciiTheme="minorEastAsia" w:hAnsiTheme="minorEastAsia" w:cs="ArialUnicodeMS"/>
                <w:kern w:val="0"/>
                <w:szCs w:val="24"/>
              </w:rPr>
            </w:pPr>
            <w:r w:rsidRPr="00D607B2">
              <w:rPr>
                <w:rFonts w:asciiTheme="minorEastAsia" w:hAnsiTheme="minorEastAsia" w:cs="ArialUnicodeMS" w:hint="eastAsia"/>
                <w:kern w:val="0"/>
                <w:szCs w:val="24"/>
              </w:rPr>
              <w:t>成长</w:t>
            </w:r>
          </w:p>
        </w:tc>
        <w:tc>
          <w:tcPr>
            <w:tcW w:w="2130" w:type="dxa"/>
          </w:tcPr>
          <w:p w:rsidR="00220C3B" w:rsidRPr="00D607B2" w:rsidRDefault="00CE54F1" w:rsidP="001600A7">
            <w:pPr>
              <w:autoSpaceDE w:val="0"/>
              <w:autoSpaceDN w:val="0"/>
              <w:adjustRightInd w:val="0"/>
              <w:spacing w:line="400" w:lineRule="exact"/>
              <w:jc w:val="left"/>
              <w:rPr>
                <w:rFonts w:asciiTheme="minorEastAsia" w:hAnsiTheme="minorEastAsia" w:cs="ArialUnicodeMS"/>
                <w:kern w:val="0"/>
                <w:szCs w:val="24"/>
              </w:rPr>
            </w:pPr>
            <w:r>
              <w:rPr>
                <w:rFonts w:asciiTheme="minorEastAsia" w:hAnsiTheme="minorEastAsia" w:cs="ArialUnicodeMS"/>
                <w:noProof/>
                <w:kern w:val="0"/>
                <w:szCs w:val="24"/>
              </w:rPr>
              <w:pict>
                <v:shape id="_x0000_s2078" type="#_x0000_t12" style="position:absolute;margin-left:43.55pt;margin-top:4.1pt;width:9pt;height:10.5pt;z-index:251688960;mso-position-horizontal-relative:text;mso-position-vertical-relative:text" filled="f"/>
              </w:pict>
            </w:r>
            <w:r>
              <w:rPr>
                <w:rFonts w:asciiTheme="minorEastAsia" w:hAnsiTheme="minorEastAsia" w:cs="ArialUnicodeMS"/>
                <w:noProof/>
                <w:kern w:val="0"/>
                <w:szCs w:val="24"/>
              </w:rPr>
              <w:pict>
                <v:shape id="_x0000_s2077" type="#_x0000_t12" style="position:absolute;margin-left:23.3pt;margin-top:4.1pt;width:9pt;height:10.5pt;z-index:251687936;mso-position-horizontal-relative:text;mso-position-vertical-relative:text" filled="f"/>
              </w:pict>
            </w:r>
            <w:r>
              <w:rPr>
                <w:rFonts w:asciiTheme="minorEastAsia" w:hAnsiTheme="minorEastAsia" w:cs="ArialUnicodeMS"/>
                <w:noProof/>
                <w:kern w:val="0"/>
                <w:szCs w:val="24"/>
              </w:rPr>
              <w:pict>
                <v:shape id="_x0000_s2079" type="#_x0000_t12" style="position:absolute;margin-left:64.55pt;margin-top:4.1pt;width:9pt;height:10.5pt;z-index:251689984;mso-position-horizontal-relative:text;mso-position-vertical-relative:text" filled="f"/>
              </w:pict>
            </w:r>
          </w:p>
        </w:tc>
        <w:tc>
          <w:tcPr>
            <w:tcW w:w="2131" w:type="dxa"/>
          </w:tcPr>
          <w:p w:rsidR="00220C3B" w:rsidRPr="00D607B2" w:rsidRDefault="00CE54F1" w:rsidP="001600A7">
            <w:pPr>
              <w:autoSpaceDE w:val="0"/>
              <w:autoSpaceDN w:val="0"/>
              <w:adjustRightInd w:val="0"/>
              <w:spacing w:line="400" w:lineRule="exact"/>
              <w:jc w:val="left"/>
              <w:rPr>
                <w:rFonts w:asciiTheme="minorEastAsia" w:hAnsiTheme="minorEastAsia" w:cs="ArialUnicodeMS"/>
                <w:kern w:val="0"/>
                <w:szCs w:val="24"/>
              </w:rPr>
            </w:pPr>
            <w:r>
              <w:rPr>
                <w:rFonts w:asciiTheme="minorEastAsia" w:hAnsiTheme="minorEastAsia" w:cs="ArialUnicodeMS"/>
                <w:noProof/>
                <w:kern w:val="0"/>
                <w:szCs w:val="24"/>
              </w:rPr>
              <w:pict>
                <v:shape id="_x0000_s2080" type="#_x0000_t12" style="position:absolute;margin-left:24pt;margin-top:4.1pt;width:9pt;height:10.5pt;z-index:251691008;mso-position-horizontal-relative:text;mso-position-vertical-relative:text" filled="f"/>
              </w:pict>
            </w:r>
            <w:r>
              <w:rPr>
                <w:rFonts w:asciiTheme="minorEastAsia" w:hAnsiTheme="minorEastAsia" w:cs="ArialUnicodeMS"/>
                <w:noProof/>
                <w:kern w:val="0"/>
                <w:szCs w:val="24"/>
              </w:rPr>
              <w:pict>
                <v:shape id="_x0000_s2082" type="#_x0000_t12" style="position:absolute;margin-left:65.25pt;margin-top:4.1pt;width:9pt;height:10.5pt;z-index:251693056;mso-position-horizontal-relative:text;mso-position-vertical-relative:text" filled="f"/>
              </w:pict>
            </w:r>
            <w:r>
              <w:rPr>
                <w:rFonts w:asciiTheme="minorEastAsia" w:hAnsiTheme="minorEastAsia" w:cs="ArialUnicodeMS"/>
                <w:noProof/>
                <w:kern w:val="0"/>
                <w:szCs w:val="24"/>
              </w:rPr>
              <w:pict>
                <v:shape id="_x0000_s2081" type="#_x0000_t12" style="position:absolute;margin-left:44.25pt;margin-top:4.1pt;width:9pt;height:10.5pt;z-index:251692032;mso-position-horizontal-relative:text;mso-position-vertical-relative:text" filled="f"/>
              </w:pict>
            </w:r>
          </w:p>
        </w:tc>
        <w:tc>
          <w:tcPr>
            <w:tcW w:w="2131" w:type="dxa"/>
          </w:tcPr>
          <w:p w:rsidR="00220C3B" w:rsidRPr="00D607B2" w:rsidRDefault="00CE54F1" w:rsidP="001600A7">
            <w:pPr>
              <w:autoSpaceDE w:val="0"/>
              <w:autoSpaceDN w:val="0"/>
              <w:adjustRightInd w:val="0"/>
              <w:spacing w:line="400" w:lineRule="exact"/>
              <w:jc w:val="left"/>
              <w:rPr>
                <w:rFonts w:asciiTheme="minorEastAsia" w:hAnsiTheme="minorEastAsia" w:cs="ArialUnicodeMS"/>
                <w:kern w:val="0"/>
                <w:szCs w:val="24"/>
              </w:rPr>
            </w:pPr>
            <w:r>
              <w:rPr>
                <w:rFonts w:asciiTheme="minorEastAsia" w:hAnsiTheme="minorEastAsia" w:cs="ArialUnicodeMS"/>
                <w:noProof/>
                <w:kern w:val="0"/>
                <w:szCs w:val="24"/>
              </w:rPr>
              <w:pict>
                <v:shape id="_x0000_s2084" type="#_x0000_t12" style="position:absolute;margin-left:43.4pt;margin-top:4.1pt;width:9pt;height:10.5pt;z-index:251695104;mso-position-horizontal-relative:text;mso-position-vertical-relative:text" filled="f"/>
              </w:pict>
            </w:r>
          </w:p>
        </w:tc>
      </w:tr>
    </w:tbl>
    <w:p w:rsidR="005712E1" w:rsidRPr="00B61A85" w:rsidRDefault="005712E1"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rPr>
        <w:t>由于人们的需求层次不同，应该采取不同的激励手段，才能达到较好的激励效果。奥尔德弗认为，</w:t>
      </w:r>
      <w:r w:rsidRPr="00B61A85">
        <w:rPr>
          <w:rFonts w:asciiTheme="minorEastAsia" w:hAnsiTheme="minorEastAsia" w:cs="Times New Roman" w:hint="eastAsia"/>
        </w:rPr>
        <w:t>人在不同时期不同阶段存在不同的需求，即不止一种需求在起激励作用</w:t>
      </w:r>
      <w:r w:rsidRPr="00B61A85">
        <w:rPr>
          <w:rFonts w:asciiTheme="minorEastAsia" w:hAnsiTheme="minorEastAsia" w:cs="Times New Roman"/>
        </w:rPr>
        <w:t>。</w:t>
      </w:r>
      <w:r w:rsidRPr="00B61A85">
        <w:rPr>
          <w:rFonts w:asciiTheme="minorEastAsia" w:hAnsiTheme="minorEastAsia" w:cs="Times New Roman" w:hint="eastAsia"/>
        </w:rPr>
        <w:t>目前，激励手段倒置现象出现在了社会组织中，即在生存及相关关系这种低层次需求尚未有得到满足的情况下，对成长、发展及自我实现等高层次的需求进行激励。</w:t>
      </w:r>
    </w:p>
    <w:p w:rsidR="00220C3B" w:rsidRPr="00B61A85" w:rsidRDefault="00220C3B" w:rsidP="00B61A85">
      <w:pPr>
        <w:spacing w:line="400" w:lineRule="exact"/>
        <w:ind w:firstLineChars="200" w:firstLine="482"/>
        <w:outlineLvl w:val="0"/>
        <w:rPr>
          <w:rFonts w:asciiTheme="minorEastAsia" w:hAnsiTheme="minorEastAsia" w:cs="Times New Roman"/>
          <w:b/>
          <w:sz w:val="24"/>
        </w:rPr>
      </w:pPr>
      <w:r w:rsidRPr="00B61A85">
        <w:rPr>
          <w:rFonts w:asciiTheme="minorEastAsia" w:hAnsiTheme="minorEastAsia" w:cs="Times New Roman" w:hint="eastAsia"/>
          <w:b/>
          <w:sz w:val="24"/>
        </w:rPr>
        <w:t>（三）薪酬体系对内缺乏公平感，对外缺乏竞争力</w:t>
      </w:r>
    </w:p>
    <w:p w:rsidR="00220C3B" w:rsidRPr="00B61A85" w:rsidRDefault="00220C3B"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hint="eastAsia"/>
        </w:rPr>
        <w:t>社会组织内部缺少人力资源平台，工作分析缺失，岗位名称不统一，部门及岗位职责不清晰，未能对岗位进行评</w:t>
      </w:r>
      <w:r w:rsidR="00A75981" w:rsidRPr="00B61A85">
        <w:rPr>
          <w:rFonts w:asciiTheme="minorEastAsia" w:hAnsiTheme="minorEastAsia" w:cs="Times New Roman" w:hint="eastAsia"/>
        </w:rPr>
        <w:t>估，不同岗位在社会组织中的价值不能通过科学的方法得以呈现，因而</w:t>
      </w:r>
      <w:r w:rsidRPr="00B61A85">
        <w:rPr>
          <w:rFonts w:asciiTheme="minorEastAsia" w:hAnsiTheme="minorEastAsia" w:cs="Times New Roman" w:hint="eastAsia"/>
        </w:rPr>
        <w:t>基本工资或职务工资部分不能较好体系岗位价值。</w:t>
      </w:r>
    </w:p>
    <w:p w:rsidR="00220C3B" w:rsidRPr="00B61A85" w:rsidRDefault="00220C3B"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hint="eastAsia"/>
        </w:rPr>
        <w:t>社会组织从业人员工资分配模式单一，按要素分配空白，造成各类人员收入不合理，也与现代管理理念不相适应。同时，对资本</w:t>
      </w:r>
      <w:r w:rsidR="00C84889" w:rsidRPr="00B61A85">
        <w:rPr>
          <w:rFonts w:asciiTheme="minorEastAsia" w:hAnsiTheme="minorEastAsia" w:cs="Times New Roman" w:hint="eastAsia"/>
        </w:rPr>
        <w:t>要素</w:t>
      </w:r>
      <w:r w:rsidRPr="00B61A85">
        <w:rPr>
          <w:rFonts w:asciiTheme="minorEastAsia" w:hAnsiTheme="minorEastAsia" w:cs="Times New Roman" w:hint="eastAsia"/>
        </w:rPr>
        <w:t>、劳动</w:t>
      </w:r>
      <w:r w:rsidR="00C84889" w:rsidRPr="00B61A85">
        <w:rPr>
          <w:rFonts w:asciiTheme="minorEastAsia" w:hAnsiTheme="minorEastAsia" w:cs="Times New Roman" w:hint="eastAsia"/>
        </w:rPr>
        <w:t>要素</w:t>
      </w:r>
      <w:r w:rsidRPr="00B61A85">
        <w:rPr>
          <w:rFonts w:asciiTheme="minorEastAsia" w:hAnsiTheme="minorEastAsia" w:cs="Times New Roman" w:hint="eastAsia"/>
        </w:rPr>
        <w:t>、管理</w:t>
      </w:r>
      <w:r w:rsidR="00E313E8" w:rsidRPr="00B61A85">
        <w:rPr>
          <w:rFonts w:asciiTheme="minorEastAsia" w:hAnsiTheme="minorEastAsia" w:cs="Times New Roman" w:hint="eastAsia"/>
        </w:rPr>
        <w:t>及</w:t>
      </w:r>
      <w:r w:rsidRPr="00B61A85">
        <w:rPr>
          <w:rFonts w:asciiTheme="minorEastAsia" w:hAnsiTheme="minorEastAsia" w:cs="Times New Roman" w:hint="eastAsia"/>
        </w:rPr>
        <w:t>技术要素</w:t>
      </w:r>
      <w:r w:rsidR="00C84889" w:rsidRPr="00B61A85">
        <w:rPr>
          <w:rFonts w:asciiTheme="minorEastAsia" w:hAnsiTheme="minorEastAsia" w:cs="Times New Roman" w:hint="eastAsia"/>
        </w:rPr>
        <w:t>等</w:t>
      </w:r>
      <w:r w:rsidRPr="00B61A85">
        <w:rPr>
          <w:rFonts w:asciiTheme="minorEastAsia" w:hAnsiTheme="minorEastAsia" w:cs="Times New Roman" w:hint="eastAsia"/>
        </w:rPr>
        <w:t>参与分配</w:t>
      </w:r>
      <w:r w:rsidR="00E313E8" w:rsidRPr="00B61A85">
        <w:rPr>
          <w:rFonts w:asciiTheme="minorEastAsia" w:hAnsiTheme="minorEastAsia" w:cs="Times New Roman" w:hint="eastAsia"/>
        </w:rPr>
        <w:t>的重视程度也不够。</w:t>
      </w:r>
      <w:r w:rsidRPr="00B61A85">
        <w:rPr>
          <w:rFonts w:asciiTheme="minorEastAsia" w:hAnsiTheme="minorEastAsia" w:cs="Times New Roman" w:hint="eastAsia"/>
        </w:rPr>
        <w:t>有些社会组织具有绩效考核制度，但大部分流于形式，没能有效体现根据要素投入情况及工作业绩进行绩效工资的合理分配。</w:t>
      </w:r>
    </w:p>
    <w:p w:rsidR="00220C3B" w:rsidRPr="00B61A85" w:rsidRDefault="00220C3B"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hint="eastAsia"/>
        </w:rPr>
        <w:t>薪酬的外部竞争性是吸引和激励人才的重要薪酬政策。但是社会组织在进行薪酬体系和薪酬制度设计过程中，主要是参考事业单位薪酬政策，基本没有进行外部行业或内部组织的薪酬调查，因而，社会组织薪酬水平和市场脱节，和行业发展水平不匹配。</w:t>
      </w:r>
    </w:p>
    <w:p w:rsidR="00220C3B" w:rsidRPr="00B61A85" w:rsidRDefault="00220C3B"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hint="eastAsia"/>
        </w:rPr>
        <w:t>由于社会组织薪酬体系存在的诸多问题，以及社会组织现代人力资源管理理念落后，体系缺失，造成社会组织人力资源匮乏，不能吸引和留住高素质专业人才，志愿人力紧缺，志愿者管理经验不足等等，最终导致社会组织的运作效率不高，不能在社会管理与社会创新中发挥应有的作用。</w:t>
      </w:r>
    </w:p>
    <w:p w:rsidR="00220C3B" w:rsidRPr="00B61A85" w:rsidRDefault="00220C3B" w:rsidP="00B61A85">
      <w:pPr>
        <w:autoSpaceDE w:val="0"/>
        <w:autoSpaceDN w:val="0"/>
        <w:adjustRightInd w:val="0"/>
        <w:spacing w:line="400" w:lineRule="exact"/>
        <w:ind w:firstLineChars="200" w:firstLine="482"/>
        <w:rPr>
          <w:rFonts w:asciiTheme="minorEastAsia" w:hAnsiTheme="minorEastAsia" w:cs="Times New Roman"/>
          <w:b/>
          <w:sz w:val="24"/>
        </w:rPr>
      </w:pPr>
      <w:r w:rsidRPr="00B61A85">
        <w:rPr>
          <w:rFonts w:asciiTheme="minorEastAsia" w:hAnsiTheme="minorEastAsia" w:cs="Times New Roman" w:hint="eastAsia"/>
          <w:b/>
          <w:sz w:val="24"/>
        </w:rPr>
        <w:t>二、社会组织人才薪酬状况及薪酬满意度实证分析</w:t>
      </w:r>
    </w:p>
    <w:p w:rsidR="005712E1" w:rsidRPr="00B61A85" w:rsidRDefault="005712E1"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rPr>
        <w:t>根据《2013年社会组织薪酬调查》</w:t>
      </w:r>
      <w:r w:rsidRPr="00B61A85">
        <w:rPr>
          <w:rFonts w:asciiTheme="minorEastAsia" w:hAnsiTheme="minorEastAsia" w:cs="Times New Roman" w:hint="eastAsia"/>
        </w:rPr>
        <w:t>结果</w:t>
      </w:r>
      <w:r w:rsidRPr="00B61A85">
        <w:rPr>
          <w:rFonts w:asciiTheme="minorEastAsia" w:hAnsiTheme="minorEastAsia" w:cs="Times New Roman"/>
        </w:rPr>
        <w:t>，就采样数据</w:t>
      </w:r>
      <w:r w:rsidR="00E313E8" w:rsidRPr="00B61A85">
        <w:rPr>
          <w:rFonts w:asciiTheme="minorEastAsia" w:hAnsiTheme="minorEastAsia" w:cs="Times New Roman" w:hint="eastAsia"/>
        </w:rPr>
        <w:t>而言</w:t>
      </w:r>
      <w:r w:rsidRPr="00B61A85">
        <w:rPr>
          <w:rFonts w:asciiTheme="minorEastAsia" w:hAnsiTheme="minorEastAsia" w:cs="Times New Roman"/>
        </w:rPr>
        <w:t>，全国性社会组织</w:t>
      </w:r>
      <w:r w:rsidR="00431A07" w:rsidRPr="00B61A85">
        <w:rPr>
          <w:rFonts w:asciiTheme="minorEastAsia" w:hAnsiTheme="minorEastAsia" w:cs="Times New Roman" w:hint="eastAsia"/>
        </w:rPr>
        <w:t>总体</w:t>
      </w:r>
      <w:r w:rsidRPr="00B61A85">
        <w:rPr>
          <w:rFonts w:asciiTheme="minorEastAsia" w:hAnsiTheme="minorEastAsia" w:cs="Times New Roman"/>
        </w:rPr>
        <w:t>薪酬</w:t>
      </w:r>
      <w:r w:rsidR="00431A07" w:rsidRPr="00B61A85">
        <w:rPr>
          <w:rFonts w:asciiTheme="minorEastAsia" w:hAnsiTheme="minorEastAsia" w:cs="Times New Roman" w:hint="eastAsia"/>
        </w:rPr>
        <w:t>水平低于北京市职工的平均工资，</w:t>
      </w:r>
      <w:r w:rsidRPr="00B61A85">
        <w:rPr>
          <w:rFonts w:asciiTheme="minorEastAsia" w:hAnsiTheme="minorEastAsia" w:cs="Times New Roman"/>
        </w:rPr>
        <w:t>社会组织专职从业人员对薪酬总体满意度不高，社会组织对优秀人才的吸引力不够。</w:t>
      </w:r>
    </w:p>
    <w:p w:rsidR="00220C3B" w:rsidRPr="00B61A85" w:rsidRDefault="00220C3B" w:rsidP="00B61A85">
      <w:pPr>
        <w:spacing w:line="400" w:lineRule="exact"/>
        <w:ind w:firstLineChars="200" w:firstLine="482"/>
        <w:outlineLvl w:val="0"/>
        <w:rPr>
          <w:rFonts w:asciiTheme="minorEastAsia" w:hAnsiTheme="minorEastAsia" w:cs="Times New Roman"/>
          <w:b/>
          <w:sz w:val="24"/>
        </w:rPr>
      </w:pPr>
      <w:r w:rsidRPr="00B61A85">
        <w:rPr>
          <w:rFonts w:asciiTheme="minorEastAsia" w:hAnsiTheme="minorEastAsia" w:cs="Times New Roman" w:hint="eastAsia"/>
          <w:b/>
          <w:sz w:val="24"/>
        </w:rPr>
        <w:t>（一）社会组织</w:t>
      </w:r>
      <w:r w:rsidR="005712E1" w:rsidRPr="00B61A85">
        <w:rPr>
          <w:rFonts w:asciiTheme="minorEastAsia" w:hAnsiTheme="minorEastAsia" w:cs="Times New Roman" w:hint="eastAsia"/>
          <w:b/>
          <w:sz w:val="24"/>
        </w:rPr>
        <w:t>薪酬低于经济发展水平</w:t>
      </w:r>
    </w:p>
    <w:p w:rsidR="005712E1" w:rsidRPr="00B61A85" w:rsidRDefault="005712E1"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hint="eastAsia"/>
        </w:rPr>
        <w:t>与社会经济发展水平比较，</w:t>
      </w:r>
      <w:r w:rsidRPr="00B61A85">
        <w:rPr>
          <w:rFonts w:asciiTheme="minorEastAsia" w:hAnsiTheme="minorEastAsia" w:cs="Times New Roman"/>
        </w:rPr>
        <w:t>社会组织从业人员工资收入水平</w:t>
      </w:r>
      <w:r w:rsidRPr="00B61A85">
        <w:rPr>
          <w:rFonts w:asciiTheme="minorEastAsia" w:hAnsiTheme="minorEastAsia" w:cs="Times New Roman" w:hint="eastAsia"/>
        </w:rPr>
        <w:t>相对较低</w:t>
      </w:r>
      <w:r w:rsidRPr="00B61A85">
        <w:rPr>
          <w:rFonts w:asciiTheme="minorEastAsia" w:hAnsiTheme="minorEastAsia" w:cs="Times New Roman"/>
        </w:rPr>
        <w:t>，</w:t>
      </w:r>
      <w:r w:rsidR="00431A07" w:rsidRPr="00B61A85">
        <w:rPr>
          <w:rFonts w:asciiTheme="minorEastAsia" w:hAnsiTheme="minorEastAsia" w:cs="Times New Roman" w:hint="eastAsia"/>
        </w:rPr>
        <w:t>在调研样本中，大部分（</w:t>
      </w:r>
      <w:r w:rsidRPr="00B61A85">
        <w:rPr>
          <w:rFonts w:asciiTheme="minorEastAsia" w:hAnsiTheme="minorEastAsia" w:cs="Times New Roman"/>
        </w:rPr>
        <w:t>68%</w:t>
      </w:r>
      <w:r w:rsidR="00431A07" w:rsidRPr="00B61A85">
        <w:rPr>
          <w:rFonts w:asciiTheme="minorEastAsia" w:hAnsiTheme="minorEastAsia" w:cs="Times New Roman" w:hint="eastAsia"/>
        </w:rPr>
        <w:t>）</w:t>
      </w:r>
      <w:r w:rsidRPr="00B61A85">
        <w:rPr>
          <w:rFonts w:asciiTheme="minorEastAsia" w:hAnsiTheme="minorEastAsia" w:cs="Times New Roman"/>
        </w:rPr>
        <w:t>的公益慈善类</w:t>
      </w:r>
      <w:r w:rsidR="00431A07" w:rsidRPr="00B61A85">
        <w:rPr>
          <w:rFonts w:asciiTheme="minorEastAsia" w:hAnsiTheme="minorEastAsia" w:cs="Times New Roman" w:hint="eastAsia"/>
        </w:rPr>
        <w:t>社会组织</w:t>
      </w:r>
      <w:r w:rsidRPr="00B61A85">
        <w:rPr>
          <w:rFonts w:asciiTheme="minorEastAsia" w:hAnsiTheme="minorEastAsia" w:cs="Times New Roman"/>
        </w:rPr>
        <w:t>从业人员认为其工资水平低于</w:t>
      </w:r>
      <w:r w:rsidR="00431A07" w:rsidRPr="00B61A85">
        <w:rPr>
          <w:rFonts w:asciiTheme="minorEastAsia" w:hAnsiTheme="minorEastAsia" w:cs="Times New Roman"/>
        </w:rPr>
        <w:t>经济发展水平；</w:t>
      </w:r>
      <w:r w:rsidRPr="00B61A85">
        <w:rPr>
          <w:rFonts w:asciiTheme="minorEastAsia" w:hAnsiTheme="minorEastAsia" w:cs="Times New Roman"/>
        </w:rPr>
        <w:t>科技类</w:t>
      </w:r>
      <w:r w:rsidR="00EB487A" w:rsidRPr="00B61A85">
        <w:rPr>
          <w:rFonts w:asciiTheme="minorEastAsia" w:hAnsiTheme="minorEastAsia" w:cs="Times New Roman" w:hint="eastAsia"/>
        </w:rPr>
        <w:t>社会组织及</w:t>
      </w:r>
      <w:r w:rsidRPr="00B61A85">
        <w:rPr>
          <w:rFonts w:asciiTheme="minorEastAsia" w:hAnsiTheme="minorEastAsia" w:cs="Times New Roman"/>
        </w:rPr>
        <w:t>行业协会商会类</w:t>
      </w:r>
      <w:r w:rsidR="00EB487A" w:rsidRPr="00B61A85">
        <w:rPr>
          <w:rFonts w:asciiTheme="minorEastAsia" w:hAnsiTheme="minorEastAsia" w:cs="Times New Roman" w:hint="eastAsia"/>
        </w:rPr>
        <w:t>社会组织</w:t>
      </w:r>
      <w:r w:rsidRPr="00B61A85">
        <w:rPr>
          <w:rFonts w:asciiTheme="minorEastAsia" w:hAnsiTheme="minorEastAsia" w:cs="Times New Roman"/>
        </w:rPr>
        <w:t>从业人员</w:t>
      </w:r>
      <w:r w:rsidR="00431A07" w:rsidRPr="00B61A85">
        <w:rPr>
          <w:rFonts w:asciiTheme="minorEastAsia" w:hAnsiTheme="minorEastAsia" w:cs="Times New Roman" w:hint="eastAsia"/>
        </w:rPr>
        <w:t>中，有</w:t>
      </w:r>
      <w:r w:rsidR="00431A07" w:rsidRPr="00B61A85">
        <w:rPr>
          <w:rFonts w:asciiTheme="minorEastAsia" w:hAnsiTheme="minorEastAsia" w:cs="Times New Roman"/>
        </w:rPr>
        <w:t>63%</w:t>
      </w:r>
      <w:r w:rsidR="00431A07" w:rsidRPr="00B61A85">
        <w:rPr>
          <w:rFonts w:asciiTheme="minorEastAsia" w:hAnsiTheme="minorEastAsia" w:cs="Times New Roman" w:hint="eastAsia"/>
        </w:rPr>
        <w:t>比例人员</w:t>
      </w:r>
      <w:r w:rsidRPr="00B61A85">
        <w:rPr>
          <w:rFonts w:asciiTheme="minorEastAsia" w:hAnsiTheme="minorEastAsia" w:cs="Times New Roman"/>
        </w:rPr>
        <w:t>认为</w:t>
      </w:r>
      <w:r w:rsidR="00431A07" w:rsidRPr="00B61A85">
        <w:rPr>
          <w:rFonts w:asciiTheme="minorEastAsia" w:hAnsiTheme="minorEastAsia" w:cs="Times New Roman" w:hint="eastAsia"/>
        </w:rPr>
        <w:t>其工资收入</w:t>
      </w:r>
      <w:r w:rsidRPr="00B61A85">
        <w:rPr>
          <w:rFonts w:asciiTheme="minorEastAsia" w:hAnsiTheme="minorEastAsia" w:cs="Times New Roman"/>
        </w:rPr>
        <w:t>低于</w:t>
      </w:r>
      <w:r w:rsidRPr="00B61A85">
        <w:rPr>
          <w:rFonts w:asciiTheme="minorEastAsia" w:hAnsiTheme="minorEastAsia" w:cs="Times New Roman"/>
        </w:rPr>
        <w:lastRenderedPageBreak/>
        <w:t>或远低于经济发展水平（图</w:t>
      </w:r>
      <w:r w:rsidRPr="00B61A85">
        <w:rPr>
          <w:rFonts w:asciiTheme="minorEastAsia" w:hAnsiTheme="minorEastAsia" w:cs="Times New Roman" w:hint="eastAsia"/>
        </w:rPr>
        <w:t>1</w:t>
      </w:r>
      <w:r w:rsidRPr="00B61A85">
        <w:rPr>
          <w:rFonts w:asciiTheme="minorEastAsia" w:hAnsiTheme="minorEastAsia" w:cs="Times New Roman"/>
        </w:rPr>
        <w:t>）。</w:t>
      </w:r>
    </w:p>
    <w:p w:rsidR="005712E1" w:rsidRDefault="005712E1" w:rsidP="00B61A85">
      <w:pPr>
        <w:rPr>
          <w:rFonts w:ascii="Calibri" w:eastAsia="宋体" w:hAnsi="Calibri" w:cs="Times New Roman"/>
        </w:rPr>
      </w:pPr>
    </w:p>
    <w:p w:rsidR="005712E1" w:rsidRDefault="00B61A85" w:rsidP="005712E1">
      <w:pPr>
        <w:ind w:firstLineChars="200" w:firstLine="420"/>
        <w:rPr>
          <w:rFonts w:ascii="Calibri" w:eastAsia="宋体" w:hAnsi="Calibri" w:cs="Times New Roman"/>
        </w:rPr>
      </w:pPr>
      <w:r>
        <w:rPr>
          <w:rFonts w:ascii="Calibri" w:eastAsia="宋体" w:hAnsi="Calibri" w:cs="Times New Roman"/>
          <w:noProof/>
        </w:rPr>
        <w:drawing>
          <wp:anchor distT="0" distB="0" distL="114300" distR="114300" simplePos="0" relativeHeight="251703296" behindDoc="0" locked="0" layoutInCell="1" allowOverlap="1">
            <wp:simplePos x="0" y="0"/>
            <wp:positionH relativeFrom="margin">
              <wp:posOffset>13087</wp:posOffset>
            </wp:positionH>
            <wp:positionV relativeFrom="paragraph">
              <wp:posOffset>103367</wp:posOffset>
            </wp:positionV>
            <wp:extent cx="4719927" cy="1979875"/>
            <wp:effectExtent l="19050" t="0" r="4473" b="0"/>
            <wp:wrapNone/>
            <wp:docPr id="2" name="图表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5712E1" w:rsidRPr="005712E1" w:rsidRDefault="005712E1" w:rsidP="005712E1">
      <w:pPr>
        <w:ind w:firstLineChars="200" w:firstLine="420"/>
        <w:rPr>
          <w:rFonts w:ascii="Calibri" w:eastAsia="宋体" w:hAnsi="Calibri" w:cs="Times New Roman"/>
        </w:rPr>
      </w:pPr>
    </w:p>
    <w:p w:rsidR="00A75981" w:rsidRDefault="00A75981" w:rsidP="00071A19">
      <w:pPr>
        <w:ind w:firstLineChars="200" w:firstLine="420"/>
        <w:rPr>
          <w:rFonts w:ascii="Calibri" w:eastAsia="宋体" w:hAnsi="Calibri" w:cs="Times New Roman"/>
        </w:rPr>
      </w:pPr>
    </w:p>
    <w:p w:rsidR="00A75981" w:rsidRDefault="00A75981" w:rsidP="00071A19">
      <w:pPr>
        <w:ind w:firstLineChars="200" w:firstLine="420"/>
        <w:rPr>
          <w:rFonts w:ascii="Calibri" w:eastAsia="宋体" w:hAnsi="Calibri" w:cs="Times New Roman"/>
        </w:rPr>
      </w:pPr>
    </w:p>
    <w:p w:rsidR="00A75981" w:rsidRDefault="00A75981" w:rsidP="00071A19">
      <w:pPr>
        <w:ind w:firstLineChars="200" w:firstLine="420"/>
        <w:rPr>
          <w:rFonts w:ascii="Calibri" w:eastAsia="宋体" w:hAnsi="Calibri" w:cs="Times New Roman"/>
        </w:rPr>
      </w:pPr>
    </w:p>
    <w:p w:rsidR="00A75981" w:rsidRDefault="00A75981" w:rsidP="00071A19">
      <w:pPr>
        <w:ind w:firstLineChars="200" w:firstLine="420"/>
        <w:rPr>
          <w:rFonts w:ascii="Calibri" w:eastAsia="宋体" w:hAnsi="Calibri" w:cs="Times New Roman"/>
        </w:rPr>
      </w:pPr>
    </w:p>
    <w:p w:rsidR="00B61A85" w:rsidRDefault="00B61A85" w:rsidP="00071A19">
      <w:pPr>
        <w:ind w:firstLineChars="200" w:firstLine="420"/>
        <w:rPr>
          <w:rFonts w:ascii="Calibri" w:eastAsia="宋体" w:hAnsi="Calibri" w:cs="Times New Roman"/>
        </w:rPr>
      </w:pPr>
    </w:p>
    <w:p w:rsidR="00B61A85" w:rsidRDefault="00B61A85" w:rsidP="00071A19">
      <w:pPr>
        <w:ind w:firstLineChars="200" w:firstLine="420"/>
        <w:rPr>
          <w:rFonts w:ascii="Calibri" w:eastAsia="宋体" w:hAnsi="Calibri" w:cs="Times New Roman"/>
        </w:rPr>
      </w:pPr>
    </w:p>
    <w:p w:rsidR="00A75981" w:rsidRDefault="00A75981" w:rsidP="00071A19">
      <w:pPr>
        <w:ind w:firstLineChars="200" w:firstLine="420"/>
        <w:rPr>
          <w:rFonts w:ascii="Calibri" w:eastAsia="宋体" w:hAnsi="Calibri" w:cs="Times New Roman"/>
        </w:rPr>
      </w:pPr>
    </w:p>
    <w:p w:rsidR="00A75981" w:rsidRDefault="00A75981" w:rsidP="00071A19">
      <w:pPr>
        <w:ind w:firstLineChars="200" w:firstLine="420"/>
        <w:rPr>
          <w:rFonts w:ascii="Calibri" w:eastAsia="宋体" w:hAnsi="Calibri" w:cs="Times New Roman"/>
        </w:rPr>
      </w:pPr>
    </w:p>
    <w:p w:rsidR="005712E1" w:rsidRPr="005712E1" w:rsidRDefault="005712E1" w:rsidP="005712E1">
      <w:pPr>
        <w:autoSpaceDE w:val="0"/>
        <w:autoSpaceDN w:val="0"/>
        <w:adjustRightInd w:val="0"/>
        <w:spacing w:line="400" w:lineRule="exact"/>
        <w:jc w:val="center"/>
        <w:rPr>
          <w:rFonts w:asciiTheme="minorEastAsia" w:hAnsiTheme="minorEastAsia" w:cs="ArialUnicodeMS"/>
          <w:kern w:val="0"/>
          <w:sz w:val="18"/>
          <w:szCs w:val="21"/>
        </w:rPr>
      </w:pPr>
      <w:r w:rsidRPr="005712E1">
        <w:rPr>
          <w:rFonts w:asciiTheme="minorEastAsia" w:hAnsiTheme="minorEastAsia" w:cs="ArialUnicodeMS" w:hint="eastAsia"/>
          <w:kern w:val="0"/>
          <w:sz w:val="18"/>
          <w:szCs w:val="21"/>
        </w:rPr>
        <w:t xml:space="preserve">图1 </w:t>
      </w:r>
      <w:r w:rsidR="00431A07">
        <w:rPr>
          <w:rFonts w:asciiTheme="minorEastAsia" w:hAnsiTheme="minorEastAsia" w:cs="ArialUnicodeMS" w:hint="eastAsia"/>
          <w:kern w:val="0"/>
          <w:sz w:val="18"/>
          <w:szCs w:val="21"/>
        </w:rPr>
        <w:t>公益</w:t>
      </w:r>
      <w:r w:rsidR="00E315E9">
        <w:rPr>
          <w:rFonts w:asciiTheme="minorEastAsia" w:hAnsiTheme="minorEastAsia" w:cs="ArialUnicodeMS" w:hint="eastAsia"/>
          <w:kern w:val="0"/>
          <w:sz w:val="18"/>
          <w:szCs w:val="21"/>
        </w:rPr>
        <w:t>慈善类、科技类、行业协会商会类</w:t>
      </w:r>
      <w:r w:rsidRPr="005712E1">
        <w:rPr>
          <w:rFonts w:asciiTheme="minorEastAsia" w:hAnsiTheme="minorEastAsia" w:cs="ArialUnicodeMS" w:hint="eastAsia"/>
          <w:kern w:val="0"/>
          <w:sz w:val="18"/>
          <w:szCs w:val="21"/>
        </w:rPr>
        <w:t>工资水平与经济发展水平比较</w:t>
      </w:r>
    </w:p>
    <w:p w:rsidR="00220C3B" w:rsidRDefault="00EB487A" w:rsidP="00B61A85">
      <w:pPr>
        <w:spacing w:line="400" w:lineRule="exact"/>
        <w:ind w:firstLineChars="200" w:firstLine="420"/>
        <w:rPr>
          <w:rFonts w:asciiTheme="minorEastAsia" w:hAnsiTheme="minorEastAsia" w:cs="ArialUnicodeMS"/>
          <w:b/>
          <w:kern w:val="0"/>
          <w:sz w:val="24"/>
          <w:szCs w:val="24"/>
        </w:rPr>
      </w:pPr>
      <w:r>
        <w:rPr>
          <w:rFonts w:ascii="Calibri" w:eastAsia="宋体" w:hAnsi="Calibri" w:cs="Times New Roman" w:hint="eastAsia"/>
        </w:rPr>
        <w:t>由图</w:t>
      </w:r>
      <w:r>
        <w:rPr>
          <w:rFonts w:ascii="Calibri" w:eastAsia="宋体" w:hAnsi="Calibri" w:cs="Times New Roman" w:hint="eastAsia"/>
        </w:rPr>
        <w:t>2</w:t>
      </w:r>
      <w:r>
        <w:rPr>
          <w:rFonts w:ascii="Calibri" w:eastAsia="宋体" w:hAnsi="Calibri" w:cs="Times New Roman" w:hint="eastAsia"/>
        </w:rPr>
        <w:t>可以看出，</w:t>
      </w:r>
      <w:r w:rsidR="005712E1" w:rsidRPr="005712E1">
        <w:rPr>
          <w:rFonts w:ascii="Calibri" w:eastAsia="宋体" w:hAnsi="Calibri" w:cs="Times New Roman"/>
        </w:rPr>
        <w:t>公益慈善类</w:t>
      </w:r>
      <w:r>
        <w:rPr>
          <w:rFonts w:ascii="Calibri" w:eastAsia="宋体" w:hAnsi="Calibri" w:cs="Times New Roman" w:hint="eastAsia"/>
        </w:rPr>
        <w:t>薪酬满意度为</w:t>
      </w:r>
      <w:r>
        <w:rPr>
          <w:rFonts w:ascii="Calibri" w:eastAsia="宋体" w:hAnsi="Calibri" w:cs="Times New Roman" w:hint="eastAsia"/>
        </w:rPr>
        <w:t>32%</w:t>
      </w:r>
      <w:r w:rsidR="005712E1" w:rsidRPr="005712E1">
        <w:rPr>
          <w:rFonts w:ascii="Calibri" w:eastAsia="宋体" w:hAnsi="Calibri" w:cs="Times New Roman"/>
        </w:rPr>
        <w:t>、科技类</w:t>
      </w:r>
      <w:r>
        <w:rPr>
          <w:rFonts w:ascii="Calibri" w:eastAsia="宋体" w:hAnsi="Calibri" w:cs="Times New Roman" w:hint="eastAsia"/>
        </w:rPr>
        <w:t>薪酬满意度为</w:t>
      </w:r>
      <w:r>
        <w:rPr>
          <w:rFonts w:ascii="Calibri" w:eastAsia="宋体" w:hAnsi="Calibri" w:cs="Times New Roman" w:hint="eastAsia"/>
        </w:rPr>
        <w:t>45%</w:t>
      </w:r>
      <w:r w:rsidR="005712E1" w:rsidRPr="005712E1">
        <w:rPr>
          <w:rFonts w:ascii="Calibri" w:eastAsia="宋体" w:hAnsi="Calibri" w:cs="Times New Roman"/>
        </w:rPr>
        <w:t>、行业协会商会类社会组织</w:t>
      </w:r>
      <w:r>
        <w:rPr>
          <w:rFonts w:ascii="Calibri" w:eastAsia="宋体" w:hAnsi="Calibri" w:cs="Times New Roman" w:hint="eastAsia"/>
        </w:rPr>
        <w:t>薪酬满意度为</w:t>
      </w:r>
      <w:r>
        <w:rPr>
          <w:rFonts w:ascii="Calibri" w:eastAsia="宋体" w:hAnsi="Calibri" w:cs="Times New Roman" w:hint="eastAsia"/>
        </w:rPr>
        <w:t>35%</w:t>
      </w:r>
      <w:r>
        <w:rPr>
          <w:rFonts w:ascii="Calibri" w:eastAsia="宋体" w:hAnsi="Calibri" w:cs="Times New Roman" w:hint="eastAsia"/>
        </w:rPr>
        <w:t>，总体来说，以上三类社会组织薪酬满意度整体不高。</w:t>
      </w:r>
    </w:p>
    <w:p w:rsidR="005712E1" w:rsidRDefault="005712E1" w:rsidP="005712E1">
      <w:pPr>
        <w:ind w:firstLineChars="200" w:firstLine="420"/>
        <w:outlineLvl w:val="0"/>
        <w:rPr>
          <w:rFonts w:asciiTheme="minorEastAsia" w:hAnsiTheme="minorEastAsia" w:cs="ArialUnicodeMS"/>
          <w:kern w:val="0"/>
          <w:szCs w:val="21"/>
        </w:rPr>
      </w:pPr>
      <w:r>
        <w:rPr>
          <w:rFonts w:asciiTheme="minorEastAsia" w:hAnsiTheme="minorEastAsia" w:cs="ArialUnicodeMS" w:hint="eastAsia"/>
          <w:noProof/>
          <w:kern w:val="0"/>
          <w:szCs w:val="21"/>
        </w:rPr>
        <w:drawing>
          <wp:anchor distT="0" distB="0" distL="114300" distR="114300" simplePos="0" relativeHeight="251705344" behindDoc="0" locked="0" layoutInCell="1" allowOverlap="0">
            <wp:simplePos x="0" y="0"/>
            <wp:positionH relativeFrom="margin">
              <wp:posOffset>68746</wp:posOffset>
            </wp:positionH>
            <wp:positionV relativeFrom="paragraph">
              <wp:posOffset>87464</wp:posOffset>
            </wp:positionV>
            <wp:extent cx="4839197" cy="2313830"/>
            <wp:effectExtent l="19050" t="0" r="0" b="0"/>
            <wp:wrapNone/>
            <wp:docPr id="3" name="图表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5712E1" w:rsidRDefault="005712E1" w:rsidP="005712E1">
      <w:pPr>
        <w:ind w:firstLineChars="200" w:firstLine="420"/>
        <w:outlineLvl w:val="0"/>
        <w:rPr>
          <w:rFonts w:asciiTheme="minorEastAsia" w:hAnsiTheme="minorEastAsia" w:cs="ArialUnicodeMS"/>
          <w:kern w:val="0"/>
          <w:szCs w:val="21"/>
        </w:rPr>
      </w:pPr>
    </w:p>
    <w:p w:rsidR="005712E1" w:rsidRDefault="005712E1" w:rsidP="005712E1">
      <w:pPr>
        <w:ind w:firstLineChars="200" w:firstLine="420"/>
        <w:outlineLvl w:val="0"/>
        <w:rPr>
          <w:rFonts w:asciiTheme="minorEastAsia" w:hAnsiTheme="minorEastAsia" w:cs="ArialUnicodeMS"/>
          <w:kern w:val="0"/>
          <w:szCs w:val="21"/>
        </w:rPr>
      </w:pPr>
    </w:p>
    <w:p w:rsidR="005712E1" w:rsidRDefault="005712E1" w:rsidP="005712E1">
      <w:pPr>
        <w:ind w:firstLineChars="200" w:firstLine="420"/>
        <w:outlineLvl w:val="0"/>
        <w:rPr>
          <w:rFonts w:asciiTheme="minorEastAsia" w:hAnsiTheme="minorEastAsia" w:cs="ArialUnicodeMS"/>
          <w:kern w:val="0"/>
          <w:szCs w:val="21"/>
        </w:rPr>
      </w:pPr>
    </w:p>
    <w:p w:rsidR="005712E1" w:rsidRDefault="005712E1" w:rsidP="005712E1">
      <w:pPr>
        <w:ind w:firstLineChars="200" w:firstLine="420"/>
        <w:outlineLvl w:val="0"/>
        <w:rPr>
          <w:rFonts w:asciiTheme="minorEastAsia" w:hAnsiTheme="minorEastAsia" w:cs="ArialUnicodeMS"/>
          <w:kern w:val="0"/>
          <w:szCs w:val="21"/>
        </w:rPr>
      </w:pPr>
    </w:p>
    <w:p w:rsidR="005712E1" w:rsidRDefault="005712E1" w:rsidP="005712E1">
      <w:pPr>
        <w:ind w:firstLineChars="200" w:firstLine="420"/>
        <w:outlineLvl w:val="0"/>
        <w:rPr>
          <w:rFonts w:asciiTheme="minorEastAsia" w:hAnsiTheme="minorEastAsia" w:cs="ArialUnicodeMS"/>
          <w:kern w:val="0"/>
          <w:szCs w:val="21"/>
        </w:rPr>
      </w:pPr>
    </w:p>
    <w:p w:rsidR="005712E1" w:rsidRDefault="005712E1" w:rsidP="005712E1">
      <w:pPr>
        <w:ind w:firstLineChars="200" w:firstLine="420"/>
        <w:outlineLvl w:val="0"/>
        <w:rPr>
          <w:rFonts w:asciiTheme="minorEastAsia" w:hAnsiTheme="minorEastAsia" w:cs="ArialUnicodeMS"/>
          <w:kern w:val="0"/>
          <w:szCs w:val="21"/>
        </w:rPr>
      </w:pPr>
    </w:p>
    <w:p w:rsidR="005712E1" w:rsidRDefault="005712E1" w:rsidP="005712E1">
      <w:pPr>
        <w:ind w:firstLineChars="200" w:firstLine="420"/>
        <w:outlineLvl w:val="0"/>
        <w:rPr>
          <w:rFonts w:asciiTheme="minorEastAsia" w:hAnsiTheme="minorEastAsia" w:cs="ArialUnicodeMS"/>
          <w:kern w:val="0"/>
          <w:szCs w:val="21"/>
        </w:rPr>
      </w:pPr>
    </w:p>
    <w:p w:rsidR="005712E1" w:rsidRDefault="005712E1" w:rsidP="005712E1">
      <w:pPr>
        <w:ind w:firstLineChars="200" w:firstLine="420"/>
        <w:outlineLvl w:val="0"/>
        <w:rPr>
          <w:rFonts w:asciiTheme="minorEastAsia" w:hAnsiTheme="minorEastAsia" w:cs="ArialUnicodeMS"/>
          <w:kern w:val="0"/>
          <w:szCs w:val="21"/>
        </w:rPr>
      </w:pPr>
    </w:p>
    <w:p w:rsidR="005712E1" w:rsidRDefault="005712E1" w:rsidP="005712E1">
      <w:pPr>
        <w:ind w:firstLineChars="200" w:firstLine="420"/>
        <w:outlineLvl w:val="0"/>
        <w:rPr>
          <w:rFonts w:asciiTheme="minorEastAsia" w:hAnsiTheme="minorEastAsia" w:cs="ArialUnicodeMS"/>
          <w:kern w:val="0"/>
          <w:szCs w:val="21"/>
        </w:rPr>
      </w:pPr>
    </w:p>
    <w:p w:rsidR="005712E1" w:rsidRDefault="005712E1" w:rsidP="005712E1">
      <w:pPr>
        <w:ind w:firstLineChars="200" w:firstLine="420"/>
        <w:outlineLvl w:val="0"/>
        <w:rPr>
          <w:rFonts w:asciiTheme="minorEastAsia" w:hAnsiTheme="minorEastAsia" w:cs="ArialUnicodeMS"/>
          <w:kern w:val="0"/>
          <w:szCs w:val="21"/>
        </w:rPr>
      </w:pPr>
    </w:p>
    <w:p w:rsidR="005712E1" w:rsidRDefault="005712E1" w:rsidP="005712E1">
      <w:pPr>
        <w:ind w:firstLineChars="200" w:firstLine="420"/>
        <w:outlineLvl w:val="0"/>
        <w:rPr>
          <w:rFonts w:asciiTheme="minorEastAsia" w:hAnsiTheme="minorEastAsia" w:cs="ArialUnicodeMS"/>
          <w:kern w:val="0"/>
          <w:szCs w:val="21"/>
        </w:rPr>
      </w:pPr>
    </w:p>
    <w:p w:rsidR="005712E1" w:rsidRDefault="005712E1" w:rsidP="005712E1">
      <w:pPr>
        <w:ind w:firstLineChars="200" w:firstLine="420"/>
        <w:jc w:val="center"/>
        <w:outlineLvl w:val="0"/>
        <w:rPr>
          <w:rFonts w:ascii="Calibri" w:eastAsia="宋体" w:hAnsi="Calibri" w:cs="Times New Roman"/>
          <w:b/>
        </w:rPr>
      </w:pPr>
      <w:r>
        <w:rPr>
          <w:rFonts w:asciiTheme="minorEastAsia" w:hAnsiTheme="minorEastAsia" w:cs="ArialUnicodeMS" w:hint="eastAsia"/>
          <w:kern w:val="0"/>
          <w:szCs w:val="21"/>
        </w:rPr>
        <w:t xml:space="preserve">图2 </w:t>
      </w:r>
      <w:r w:rsidRPr="00A75981">
        <w:rPr>
          <w:rFonts w:asciiTheme="minorEastAsia" w:hAnsiTheme="minorEastAsia" w:cs="ArialUnicodeMS" w:hint="eastAsia"/>
          <w:kern w:val="0"/>
          <w:szCs w:val="21"/>
        </w:rPr>
        <w:t>三</w:t>
      </w:r>
      <w:r w:rsidRPr="00D607B2">
        <w:rPr>
          <w:rFonts w:asciiTheme="minorEastAsia" w:hAnsiTheme="minorEastAsia" w:cs="ArialUnicodeMS" w:hint="eastAsia"/>
          <w:kern w:val="0"/>
          <w:szCs w:val="21"/>
        </w:rPr>
        <w:t>种类型社会组织人员工资满意度对比</w:t>
      </w:r>
    </w:p>
    <w:p w:rsidR="00220C3B" w:rsidRPr="00B61A85" w:rsidRDefault="00220C3B" w:rsidP="00B61A85">
      <w:pPr>
        <w:ind w:firstLineChars="200" w:firstLine="482"/>
        <w:outlineLvl w:val="0"/>
        <w:rPr>
          <w:rFonts w:ascii="Calibri" w:eastAsia="宋体" w:hAnsi="Calibri" w:cs="Times New Roman"/>
          <w:b/>
          <w:sz w:val="24"/>
        </w:rPr>
      </w:pPr>
      <w:r w:rsidRPr="00B61A85">
        <w:rPr>
          <w:rFonts w:ascii="Calibri" w:eastAsia="宋体" w:hAnsi="Calibri" w:cs="Times New Roman" w:hint="eastAsia"/>
          <w:b/>
          <w:sz w:val="24"/>
        </w:rPr>
        <w:t>（二）</w:t>
      </w:r>
      <w:r w:rsidR="009910DE" w:rsidRPr="00B61A85">
        <w:rPr>
          <w:rFonts w:ascii="Calibri" w:eastAsia="宋体" w:hAnsi="Calibri" w:cs="Times New Roman" w:hint="eastAsia"/>
          <w:b/>
          <w:sz w:val="24"/>
        </w:rPr>
        <w:t>社会组织“五险一金”不规范</w:t>
      </w:r>
    </w:p>
    <w:p w:rsidR="00220C3B" w:rsidRPr="00071A19" w:rsidRDefault="00E315E9" w:rsidP="00B61A85">
      <w:pPr>
        <w:spacing w:line="400" w:lineRule="exact"/>
        <w:ind w:firstLineChars="200" w:firstLine="420"/>
        <w:rPr>
          <w:rFonts w:ascii="Calibri" w:eastAsia="宋体" w:hAnsi="Calibri" w:cs="Times New Roman"/>
        </w:rPr>
      </w:pPr>
      <w:r>
        <w:rPr>
          <w:rFonts w:ascii="Calibri" w:eastAsia="宋体" w:hAnsi="Calibri" w:cs="Times New Roman" w:hint="eastAsia"/>
        </w:rPr>
        <w:t>就人工成本和工资总额而言，</w:t>
      </w:r>
      <w:r w:rsidR="00EB487A">
        <w:rPr>
          <w:rFonts w:ascii="Calibri" w:eastAsia="宋体" w:hAnsi="Calibri" w:cs="Times New Roman" w:hint="eastAsia"/>
        </w:rPr>
        <w:t>费用最高的是</w:t>
      </w:r>
      <w:r>
        <w:rPr>
          <w:rFonts w:ascii="Calibri" w:eastAsia="宋体" w:hAnsi="Calibri" w:cs="Times New Roman" w:hint="eastAsia"/>
        </w:rPr>
        <w:t>行业协会商会类，</w:t>
      </w:r>
      <w:r w:rsidR="00EB487A">
        <w:rPr>
          <w:rFonts w:ascii="Calibri" w:eastAsia="宋体" w:hAnsi="Calibri" w:cs="Times New Roman" w:hint="eastAsia"/>
        </w:rPr>
        <w:t>公益慈善类社会组织的</w:t>
      </w:r>
      <w:r>
        <w:rPr>
          <w:rFonts w:ascii="Calibri" w:eastAsia="宋体" w:hAnsi="Calibri" w:cs="Times New Roman" w:hint="eastAsia"/>
        </w:rPr>
        <w:t>工资总额最低</w:t>
      </w:r>
      <w:r w:rsidR="00220C3B" w:rsidRPr="00071A19">
        <w:rPr>
          <w:rFonts w:ascii="Calibri" w:eastAsia="宋体" w:hAnsi="Calibri" w:cs="Times New Roman" w:hint="eastAsia"/>
        </w:rPr>
        <w:t>，</w:t>
      </w:r>
      <w:r w:rsidR="00EB487A">
        <w:rPr>
          <w:rFonts w:ascii="Calibri" w:eastAsia="宋体" w:hAnsi="Calibri" w:cs="Times New Roman" w:hint="eastAsia"/>
        </w:rPr>
        <w:t>理论上来说，此种情况下，公益慈善类社会组织的</w:t>
      </w:r>
      <w:r w:rsidR="00F17BA1" w:rsidRPr="00071A19">
        <w:rPr>
          <w:rFonts w:ascii="Calibri" w:eastAsia="宋体" w:hAnsi="Calibri" w:cs="Times New Roman" w:hint="eastAsia"/>
        </w:rPr>
        <w:t>“五险一金”费用</w:t>
      </w:r>
      <w:r w:rsidR="00EB487A">
        <w:rPr>
          <w:rFonts w:ascii="Calibri" w:eastAsia="宋体" w:hAnsi="Calibri" w:cs="Times New Roman" w:hint="eastAsia"/>
        </w:rPr>
        <w:t>应该最低，但实际调研数据显示其</w:t>
      </w:r>
      <w:r w:rsidR="00F17BA1" w:rsidRPr="00071A19">
        <w:rPr>
          <w:rFonts w:ascii="Calibri" w:eastAsia="宋体" w:hAnsi="Calibri" w:cs="Times New Roman" w:hint="eastAsia"/>
        </w:rPr>
        <w:t>却是</w:t>
      </w:r>
      <w:r w:rsidR="00220C3B" w:rsidRPr="00071A19">
        <w:rPr>
          <w:rFonts w:ascii="Calibri" w:eastAsia="宋体" w:hAnsi="Calibri" w:cs="Times New Roman" w:hint="eastAsia"/>
        </w:rPr>
        <w:t>最高，行业协商商会类最低，</w:t>
      </w:r>
      <w:r w:rsidR="00F17BA1">
        <w:rPr>
          <w:rFonts w:ascii="Calibri" w:eastAsia="宋体" w:hAnsi="Calibri" w:cs="Times New Roman" w:hint="eastAsia"/>
        </w:rPr>
        <w:t>这</w:t>
      </w:r>
      <w:r w:rsidR="00220C3B" w:rsidRPr="00071A19">
        <w:rPr>
          <w:rFonts w:ascii="Calibri" w:eastAsia="宋体" w:hAnsi="Calibri" w:cs="Times New Roman" w:hint="eastAsia"/>
        </w:rPr>
        <w:t>说明工资收入和</w:t>
      </w:r>
      <w:r w:rsidR="00604712">
        <w:rPr>
          <w:rFonts w:ascii="Calibri" w:eastAsia="宋体" w:hAnsi="Calibri" w:cs="Times New Roman" w:hint="eastAsia"/>
        </w:rPr>
        <w:t>国家法定的基本</w:t>
      </w:r>
      <w:r w:rsidR="00220C3B" w:rsidRPr="00071A19">
        <w:rPr>
          <w:rFonts w:ascii="Calibri" w:eastAsia="宋体" w:hAnsi="Calibri" w:cs="Times New Roman" w:hint="eastAsia"/>
        </w:rPr>
        <w:t>社会保障不匹配。</w:t>
      </w:r>
    </w:p>
    <w:p w:rsidR="00220C3B" w:rsidRPr="00071A19" w:rsidRDefault="00220C3B" w:rsidP="00071A19">
      <w:pPr>
        <w:ind w:firstLineChars="200" w:firstLine="420"/>
        <w:jc w:val="center"/>
        <w:rPr>
          <w:rFonts w:ascii="Calibri" w:eastAsia="宋体" w:hAnsi="Calibri" w:cs="Times New Roman"/>
        </w:rPr>
      </w:pPr>
      <w:r w:rsidRPr="00071A19">
        <w:rPr>
          <w:rFonts w:ascii="Calibri" w:eastAsia="宋体" w:hAnsi="Calibri" w:cs="Times New Roman" w:hint="eastAsia"/>
        </w:rPr>
        <w:t>表</w:t>
      </w:r>
      <w:r w:rsidR="00071A19">
        <w:rPr>
          <w:rFonts w:ascii="Calibri" w:eastAsia="宋体" w:hAnsi="Calibri" w:cs="Times New Roman" w:hint="eastAsia"/>
        </w:rPr>
        <w:t>2</w:t>
      </w:r>
      <w:r w:rsidRPr="00071A19">
        <w:rPr>
          <w:rFonts w:ascii="Calibri" w:eastAsia="宋体" w:hAnsi="Calibri" w:cs="Times New Roman"/>
        </w:rPr>
        <w:t xml:space="preserve"> </w:t>
      </w:r>
      <w:r w:rsidRPr="00071A19">
        <w:rPr>
          <w:rFonts w:ascii="Calibri" w:eastAsia="宋体" w:hAnsi="Calibri" w:cs="Times New Roman" w:hint="eastAsia"/>
        </w:rPr>
        <w:t>不同类型社会组织中人工成本各项情况对比分析</w:t>
      </w:r>
    </w:p>
    <w:p w:rsidR="00604712" w:rsidRPr="00604712" w:rsidRDefault="00604712" w:rsidP="00604712">
      <w:pPr>
        <w:widowControl/>
        <w:jc w:val="left"/>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4839197" cy="1944578"/>
            <wp:effectExtent l="19050" t="0" r="0" b="0"/>
            <wp:docPr id="1" name="图片 1" descr="C:\Users\Wangam\AppData\Roaming\Tencent\Users\20973262\QQ\WinTemp\RichOle\28$%4)L5EQG~@3~_~NA$U3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ngam\AppData\Roaming\Tencent\Users\20973262\QQ\WinTemp\RichOle\28$%4)L5EQG~@3~_~NA$U3O.png"/>
                    <pic:cNvPicPr>
                      <a:picLocks noChangeAspect="1" noChangeArrowheads="1"/>
                    </pic:cNvPicPr>
                  </pic:nvPicPr>
                  <pic:blipFill>
                    <a:blip r:embed="rId10" cstate="print"/>
                    <a:srcRect/>
                    <a:stretch>
                      <a:fillRect/>
                    </a:stretch>
                  </pic:blipFill>
                  <pic:spPr bwMode="auto">
                    <a:xfrm>
                      <a:off x="0" y="0"/>
                      <a:ext cx="4842158" cy="1945768"/>
                    </a:xfrm>
                    <a:prstGeom prst="rect">
                      <a:avLst/>
                    </a:prstGeom>
                    <a:noFill/>
                    <a:ln w="9525">
                      <a:noFill/>
                      <a:miter lim="800000"/>
                      <a:headEnd/>
                      <a:tailEnd/>
                    </a:ln>
                  </pic:spPr>
                </pic:pic>
              </a:graphicData>
            </a:graphic>
          </wp:inline>
        </w:drawing>
      </w:r>
    </w:p>
    <w:p w:rsidR="00220C3B" w:rsidRPr="00071A19" w:rsidRDefault="00220C3B" w:rsidP="00B61A85">
      <w:pPr>
        <w:spacing w:line="400" w:lineRule="exact"/>
        <w:ind w:firstLineChars="200" w:firstLine="420"/>
        <w:rPr>
          <w:rFonts w:ascii="Calibri" w:eastAsia="宋体" w:hAnsi="Calibri" w:cs="Times New Roman"/>
        </w:rPr>
      </w:pPr>
      <w:r w:rsidRPr="00071A19">
        <w:rPr>
          <w:rFonts w:ascii="Calibri" w:eastAsia="宋体" w:hAnsi="Calibri" w:cs="Times New Roman" w:hint="eastAsia"/>
        </w:rPr>
        <w:t>由此表还可以看出，三类社会组织为员工缴存的“五险一金”比例均低于北京市人力资源和社会保障局规定的下限</w:t>
      </w:r>
      <w:r w:rsidRPr="00071A19">
        <w:rPr>
          <w:rFonts w:ascii="Calibri" w:eastAsia="宋体" w:hAnsi="Calibri" w:cs="Times New Roman" w:hint="eastAsia"/>
          <w:vertAlign w:val="superscript"/>
        </w:rPr>
        <w:footnoteReference w:id="5"/>
      </w:r>
      <w:r w:rsidRPr="00071A19">
        <w:rPr>
          <w:rFonts w:ascii="Calibri" w:eastAsia="宋体" w:hAnsi="Calibri" w:cs="Times New Roman" w:hint="eastAsia"/>
        </w:rPr>
        <w:t>。究其原因，可能是因为大部分社会组织对北京市社会保障政策不甚了解，抑或是为了降低人工成本。</w:t>
      </w:r>
    </w:p>
    <w:p w:rsidR="00220C3B" w:rsidRPr="00B61A85" w:rsidRDefault="00B61A85" w:rsidP="00B61A85">
      <w:pPr>
        <w:spacing w:line="400" w:lineRule="exact"/>
        <w:ind w:firstLineChars="200" w:firstLine="482"/>
        <w:outlineLvl w:val="0"/>
        <w:rPr>
          <w:rFonts w:ascii="Calibri" w:eastAsia="宋体" w:hAnsi="Calibri" w:cs="Times New Roman"/>
          <w:b/>
          <w:sz w:val="24"/>
        </w:rPr>
      </w:pPr>
      <w:r w:rsidRPr="00B61A85">
        <w:rPr>
          <w:rFonts w:ascii="Calibri" w:eastAsia="宋体" w:hAnsi="Calibri" w:cs="Times New Roman" w:hint="eastAsia"/>
          <w:b/>
          <w:sz w:val="24"/>
        </w:rPr>
        <w:t>（三）</w:t>
      </w:r>
      <w:r w:rsidR="00220C3B" w:rsidRPr="00B61A85">
        <w:rPr>
          <w:rFonts w:ascii="Calibri" w:eastAsia="宋体" w:hAnsi="Calibri" w:cs="Times New Roman" w:hint="eastAsia"/>
          <w:b/>
          <w:sz w:val="24"/>
        </w:rPr>
        <w:t>薪酬内部公平性</w:t>
      </w:r>
      <w:r w:rsidR="00A75981" w:rsidRPr="00B61A85">
        <w:rPr>
          <w:rFonts w:ascii="Calibri" w:eastAsia="宋体" w:hAnsi="Calibri" w:cs="Times New Roman" w:hint="eastAsia"/>
          <w:b/>
          <w:sz w:val="24"/>
        </w:rPr>
        <w:t>不足</w:t>
      </w:r>
    </w:p>
    <w:p w:rsidR="00EB487A" w:rsidRDefault="00EB487A" w:rsidP="00B61A85">
      <w:pPr>
        <w:spacing w:line="400" w:lineRule="exact"/>
        <w:ind w:firstLineChars="200" w:firstLine="420"/>
        <w:rPr>
          <w:rFonts w:ascii="Calibri" w:eastAsia="宋体" w:hAnsi="Calibri" w:cs="Times New Roman"/>
        </w:rPr>
      </w:pPr>
      <w:r>
        <w:rPr>
          <w:rFonts w:ascii="Calibri" w:eastAsia="宋体" w:hAnsi="Calibri" w:cs="Times New Roman" w:hint="eastAsia"/>
        </w:rPr>
        <w:t>薪酬内部一致性，也即薪酬内部公平性。是指员工在组织内从事工作的相对价值的认可，主要体现在员工自我比较、员工本人与他人比较等方面。</w:t>
      </w:r>
    </w:p>
    <w:p w:rsidR="00674556" w:rsidRDefault="009910DE" w:rsidP="00B61A85">
      <w:pPr>
        <w:spacing w:line="400" w:lineRule="exact"/>
        <w:ind w:firstLineChars="200" w:firstLine="420"/>
        <w:rPr>
          <w:rFonts w:ascii="Calibri" w:eastAsia="宋体" w:hAnsi="Calibri" w:cs="Times New Roman"/>
        </w:rPr>
      </w:pPr>
      <w:r w:rsidRPr="009910DE">
        <w:rPr>
          <w:rFonts w:ascii="Calibri" w:eastAsia="宋体" w:hAnsi="Calibri" w:cs="Times New Roman" w:hint="eastAsia"/>
        </w:rPr>
        <w:t>自我比较主要</w:t>
      </w:r>
      <w:r w:rsidRPr="009910DE">
        <w:rPr>
          <w:rFonts w:ascii="Calibri" w:eastAsia="宋体" w:hAnsi="Calibri" w:cs="Times New Roman"/>
        </w:rPr>
        <w:t>体现在固定工资或基本工资上，</w:t>
      </w:r>
      <w:r w:rsidR="00674556">
        <w:rPr>
          <w:rFonts w:ascii="Calibri" w:eastAsia="宋体" w:hAnsi="Calibri" w:cs="Times New Roman" w:hint="eastAsia"/>
        </w:rPr>
        <w:t>公益慈善类从业人员认为</w:t>
      </w:r>
      <w:r w:rsidR="00674556" w:rsidRPr="009910DE">
        <w:rPr>
          <w:rFonts w:ascii="Calibri" w:eastAsia="宋体" w:hAnsi="Calibri" w:cs="Times New Roman"/>
        </w:rPr>
        <w:t>“</w:t>
      </w:r>
      <w:r w:rsidR="00674556" w:rsidRPr="009910DE">
        <w:rPr>
          <w:rFonts w:ascii="Calibri" w:eastAsia="宋体" w:hAnsi="Calibri" w:cs="Times New Roman"/>
        </w:rPr>
        <w:t>低</w:t>
      </w:r>
      <w:r w:rsidR="00674556" w:rsidRPr="009910DE">
        <w:rPr>
          <w:rFonts w:ascii="Calibri" w:eastAsia="宋体" w:hAnsi="Calibri" w:cs="Times New Roman"/>
        </w:rPr>
        <w:t>”</w:t>
      </w:r>
      <w:r w:rsidR="00674556" w:rsidRPr="009910DE">
        <w:rPr>
          <w:rFonts w:ascii="Calibri" w:eastAsia="宋体" w:hAnsi="Calibri" w:cs="Times New Roman"/>
        </w:rPr>
        <w:t>和</w:t>
      </w:r>
      <w:r w:rsidR="00674556" w:rsidRPr="009910DE">
        <w:rPr>
          <w:rFonts w:ascii="Calibri" w:eastAsia="宋体" w:hAnsi="Calibri" w:cs="Times New Roman"/>
        </w:rPr>
        <w:t>“</w:t>
      </w:r>
      <w:r w:rsidR="00674556" w:rsidRPr="009910DE">
        <w:rPr>
          <w:rFonts w:ascii="Calibri" w:eastAsia="宋体" w:hAnsi="Calibri" w:cs="Times New Roman"/>
        </w:rPr>
        <w:t>非常低</w:t>
      </w:r>
      <w:r w:rsidR="00674556" w:rsidRPr="009910DE">
        <w:rPr>
          <w:rFonts w:ascii="Calibri" w:eastAsia="宋体" w:hAnsi="Calibri" w:cs="Times New Roman"/>
        </w:rPr>
        <w:t>”</w:t>
      </w:r>
      <w:r w:rsidR="00674556" w:rsidRPr="009910DE">
        <w:rPr>
          <w:rFonts w:ascii="Calibri" w:eastAsia="宋体" w:hAnsi="Calibri" w:cs="Times New Roman"/>
        </w:rPr>
        <w:t>的</w:t>
      </w:r>
      <w:r w:rsidR="00674556">
        <w:rPr>
          <w:rFonts w:ascii="Calibri" w:eastAsia="宋体" w:hAnsi="Calibri" w:cs="Times New Roman" w:hint="eastAsia"/>
        </w:rPr>
        <w:t>为</w:t>
      </w:r>
      <w:r w:rsidR="00674556">
        <w:rPr>
          <w:rFonts w:ascii="Calibri" w:eastAsia="宋体" w:hAnsi="Calibri" w:cs="Times New Roman" w:hint="eastAsia"/>
        </w:rPr>
        <w:t>34%</w:t>
      </w:r>
      <w:r w:rsidR="00674556">
        <w:rPr>
          <w:rFonts w:ascii="Calibri" w:eastAsia="宋体" w:hAnsi="Calibri" w:cs="Times New Roman" w:hint="eastAsia"/>
        </w:rPr>
        <w:t>，科技类从业人员认为</w:t>
      </w:r>
      <w:r w:rsidR="00674556" w:rsidRPr="009910DE">
        <w:rPr>
          <w:rFonts w:ascii="Calibri" w:eastAsia="宋体" w:hAnsi="Calibri" w:cs="Times New Roman"/>
        </w:rPr>
        <w:t>“</w:t>
      </w:r>
      <w:r w:rsidR="00674556" w:rsidRPr="009910DE">
        <w:rPr>
          <w:rFonts w:ascii="Calibri" w:eastAsia="宋体" w:hAnsi="Calibri" w:cs="Times New Roman"/>
        </w:rPr>
        <w:t>低</w:t>
      </w:r>
      <w:r w:rsidR="00674556" w:rsidRPr="009910DE">
        <w:rPr>
          <w:rFonts w:ascii="Calibri" w:eastAsia="宋体" w:hAnsi="Calibri" w:cs="Times New Roman"/>
        </w:rPr>
        <w:t>”</w:t>
      </w:r>
      <w:r w:rsidR="00674556" w:rsidRPr="009910DE">
        <w:rPr>
          <w:rFonts w:ascii="Calibri" w:eastAsia="宋体" w:hAnsi="Calibri" w:cs="Times New Roman"/>
        </w:rPr>
        <w:t>和</w:t>
      </w:r>
      <w:r w:rsidR="00674556" w:rsidRPr="009910DE">
        <w:rPr>
          <w:rFonts w:ascii="Calibri" w:eastAsia="宋体" w:hAnsi="Calibri" w:cs="Times New Roman"/>
        </w:rPr>
        <w:t>“</w:t>
      </w:r>
      <w:r w:rsidR="00674556" w:rsidRPr="009910DE">
        <w:rPr>
          <w:rFonts w:ascii="Calibri" w:eastAsia="宋体" w:hAnsi="Calibri" w:cs="Times New Roman"/>
        </w:rPr>
        <w:t>非常低</w:t>
      </w:r>
      <w:r w:rsidR="00674556" w:rsidRPr="009910DE">
        <w:rPr>
          <w:rFonts w:ascii="Calibri" w:eastAsia="宋体" w:hAnsi="Calibri" w:cs="Times New Roman"/>
        </w:rPr>
        <w:t>”</w:t>
      </w:r>
      <w:r w:rsidR="00674556" w:rsidRPr="009910DE">
        <w:rPr>
          <w:rFonts w:ascii="Calibri" w:eastAsia="宋体" w:hAnsi="Calibri" w:cs="Times New Roman"/>
        </w:rPr>
        <w:t>的</w:t>
      </w:r>
      <w:r w:rsidR="00674556">
        <w:rPr>
          <w:rFonts w:ascii="Calibri" w:eastAsia="宋体" w:hAnsi="Calibri" w:cs="Times New Roman" w:hint="eastAsia"/>
        </w:rPr>
        <w:t>为</w:t>
      </w:r>
      <w:r w:rsidR="00674556">
        <w:rPr>
          <w:rFonts w:ascii="Calibri" w:eastAsia="宋体" w:hAnsi="Calibri" w:cs="Times New Roman" w:hint="eastAsia"/>
        </w:rPr>
        <w:t>36%</w:t>
      </w:r>
      <w:r w:rsidR="00674556">
        <w:rPr>
          <w:rFonts w:ascii="Calibri" w:eastAsia="宋体" w:hAnsi="Calibri" w:cs="Times New Roman" w:hint="eastAsia"/>
        </w:rPr>
        <w:t>，行业协会商会类从业人员</w:t>
      </w:r>
      <w:r w:rsidR="00EB487A">
        <w:rPr>
          <w:rFonts w:ascii="Calibri" w:eastAsia="宋体" w:hAnsi="Calibri" w:cs="Times New Roman" w:hint="eastAsia"/>
        </w:rPr>
        <w:t>有</w:t>
      </w:r>
      <w:r w:rsidR="00EB487A">
        <w:rPr>
          <w:rFonts w:ascii="Calibri" w:eastAsia="宋体" w:hAnsi="Calibri" w:cs="Times New Roman" w:hint="eastAsia"/>
        </w:rPr>
        <w:t>36%</w:t>
      </w:r>
      <w:r w:rsidR="00EB487A">
        <w:rPr>
          <w:rFonts w:ascii="Calibri" w:eastAsia="宋体" w:hAnsi="Calibri" w:cs="Times New Roman" w:hint="eastAsia"/>
        </w:rPr>
        <w:t>比例认为</w:t>
      </w:r>
      <w:r w:rsidR="00674556" w:rsidRPr="009910DE">
        <w:rPr>
          <w:rFonts w:ascii="Calibri" w:eastAsia="宋体" w:hAnsi="Calibri" w:cs="Times New Roman"/>
        </w:rPr>
        <w:t>“</w:t>
      </w:r>
      <w:r w:rsidR="00674556" w:rsidRPr="009910DE">
        <w:rPr>
          <w:rFonts w:ascii="Calibri" w:eastAsia="宋体" w:hAnsi="Calibri" w:cs="Times New Roman"/>
        </w:rPr>
        <w:t>低</w:t>
      </w:r>
      <w:r w:rsidR="00674556" w:rsidRPr="009910DE">
        <w:rPr>
          <w:rFonts w:ascii="Calibri" w:eastAsia="宋体" w:hAnsi="Calibri" w:cs="Times New Roman"/>
        </w:rPr>
        <w:t>”</w:t>
      </w:r>
      <w:r w:rsidR="00674556" w:rsidRPr="009910DE">
        <w:rPr>
          <w:rFonts w:ascii="Calibri" w:eastAsia="宋体" w:hAnsi="Calibri" w:cs="Times New Roman"/>
        </w:rPr>
        <w:t>和</w:t>
      </w:r>
      <w:r w:rsidR="00674556" w:rsidRPr="009910DE">
        <w:rPr>
          <w:rFonts w:ascii="Calibri" w:eastAsia="宋体" w:hAnsi="Calibri" w:cs="Times New Roman"/>
        </w:rPr>
        <w:t>“</w:t>
      </w:r>
      <w:r w:rsidR="00674556" w:rsidRPr="009910DE">
        <w:rPr>
          <w:rFonts w:ascii="Calibri" w:eastAsia="宋体" w:hAnsi="Calibri" w:cs="Times New Roman"/>
        </w:rPr>
        <w:t>非常低</w:t>
      </w:r>
      <w:r w:rsidR="00674556" w:rsidRPr="009910DE">
        <w:rPr>
          <w:rFonts w:ascii="Calibri" w:eastAsia="宋体" w:hAnsi="Calibri" w:cs="Times New Roman"/>
        </w:rPr>
        <w:t>”</w:t>
      </w:r>
      <w:r w:rsidR="00674556">
        <w:rPr>
          <w:rFonts w:ascii="Calibri" w:eastAsia="宋体" w:hAnsi="Calibri" w:cs="Times New Roman" w:hint="eastAsia"/>
        </w:rPr>
        <w:t>。</w:t>
      </w:r>
      <w:r w:rsidR="00373EE9">
        <w:rPr>
          <w:rFonts w:ascii="Calibri" w:eastAsia="宋体" w:hAnsi="Calibri" w:cs="Times New Roman" w:hint="eastAsia"/>
        </w:rPr>
        <w:t>总体而言</w:t>
      </w:r>
      <w:r w:rsidR="00674556">
        <w:rPr>
          <w:rFonts w:ascii="Calibri" w:eastAsia="宋体" w:hAnsi="Calibri" w:cs="Times New Roman" w:hint="eastAsia"/>
        </w:rPr>
        <w:t>，</w:t>
      </w:r>
      <w:r w:rsidR="00373EE9">
        <w:rPr>
          <w:rFonts w:ascii="Calibri" w:eastAsia="宋体" w:hAnsi="Calibri" w:cs="Times New Roman" w:hint="eastAsia"/>
        </w:rPr>
        <w:t>对于固定工资或基本工资比例，</w:t>
      </w:r>
      <w:r w:rsidR="00674556">
        <w:rPr>
          <w:rFonts w:ascii="Calibri" w:eastAsia="宋体" w:hAnsi="Calibri" w:cs="Times New Roman" w:hint="eastAsia"/>
        </w:rPr>
        <w:t>三类社会组织不太满意（图</w:t>
      </w:r>
      <w:r w:rsidR="00674556">
        <w:rPr>
          <w:rFonts w:ascii="Calibri" w:eastAsia="宋体" w:hAnsi="Calibri" w:cs="Times New Roman" w:hint="eastAsia"/>
        </w:rPr>
        <w:t>3</w:t>
      </w:r>
      <w:r w:rsidR="00674556">
        <w:rPr>
          <w:rFonts w:ascii="Calibri" w:eastAsia="宋体" w:hAnsi="Calibri" w:cs="Times New Roman" w:hint="eastAsia"/>
        </w:rPr>
        <w:t>）。</w:t>
      </w:r>
    </w:p>
    <w:p w:rsidR="00674556" w:rsidRPr="00674556" w:rsidRDefault="00674556" w:rsidP="00B61A85">
      <w:pPr>
        <w:spacing w:line="400" w:lineRule="exact"/>
        <w:ind w:firstLineChars="200" w:firstLine="420"/>
        <w:rPr>
          <w:rFonts w:ascii="Calibri" w:eastAsia="宋体" w:hAnsi="Calibri" w:cs="Times New Roman"/>
        </w:rPr>
      </w:pPr>
      <w:r>
        <w:rPr>
          <w:rFonts w:ascii="Calibri" w:eastAsia="宋体" w:hAnsi="Calibri" w:cs="Times New Roman" w:hint="eastAsia"/>
        </w:rPr>
        <w:t>其次，在可变工资上，公益慈善类、科技类和商业行业协会类社会组织的可变工资整体较少（图</w:t>
      </w:r>
      <w:r>
        <w:rPr>
          <w:rFonts w:ascii="Calibri" w:eastAsia="宋体" w:hAnsi="Calibri" w:cs="Times New Roman" w:hint="eastAsia"/>
        </w:rPr>
        <w:t>3</w:t>
      </w:r>
      <w:r>
        <w:rPr>
          <w:rFonts w:ascii="Calibri" w:eastAsia="宋体" w:hAnsi="Calibri" w:cs="Times New Roman" w:hint="eastAsia"/>
        </w:rPr>
        <w:t>）。</w:t>
      </w:r>
    </w:p>
    <w:p w:rsidR="00220C3B" w:rsidRDefault="00CE54F1" w:rsidP="00220C3B">
      <w:pPr>
        <w:autoSpaceDE w:val="0"/>
        <w:autoSpaceDN w:val="0"/>
        <w:adjustRightInd w:val="0"/>
        <w:spacing w:line="400" w:lineRule="exact"/>
        <w:ind w:firstLineChars="200" w:firstLine="480"/>
        <w:jc w:val="left"/>
        <w:rPr>
          <w:rFonts w:asciiTheme="minorEastAsia" w:hAnsiTheme="minorEastAsia" w:cs="ArialUnicodeMS"/>
          <w:kern w:val="0"/>
          <w:sz w:val="24"/>
          <w:szCs w:val="24"/>
        </w:rPr>
      </w:pPr>
      <w:r>
        <w:rPr>
          <w:rFonts w:asciiTheme="minorEastAsia" w:hAnsiTheme="minorEastAsia" w:cs="ArialUnicodeMS"/>
          <w:noProof/>
          <w:kern w:val="0"/>
          <w:sz w:val="24"/>
          <w:szCs w:val="24"/>
        </w:rPr>
        <w:pict>
          <v:group id="_x0000_s2085" style="position:absolute;left:0;text-align:left;margin-left:-.8pt;margin-top:9.05pt;width:410.4pt;height:162.9pt;z-index:251700224" coordorigin="1394,10111" coordsize="9070,3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20" o:spid="_x0000_s2086" type="#_x0000_t75" style="position:absolute;left:1394;top:10111;width:4535;height:3402;visibility:visible;mso-position-horizontal-relative:margin"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jUObf3AAAAAUBAAAPAAAAZHJzL2Rvd25y&#10;ZXYueG1sTI/BbsIwEETvlfgHayv1VpwQCijEQahSD0jNobSHHpd4SaLG6yg2YP6+Lhd6WWk0o5m3&#10;xSaYXpxpdJ1lBek0AUFcW91xo+Dr8+15BcJ5ZI29ZVJwJQebcvJQYK7thT/ovPeNiCXsclTQej/k&#10;Urq6JYNuagfi6B3taNBHOTZSj3iJ5aaXsyRZSIMdx4UWB3ptqf7Zn4yCxepapf69qezuu0J93FkO&#10;Ya7U02PYrkF4Cv4ehj/8iA5lZDrYE2snegXxEX+70VvOshTEQcE8y15AloX8T1/+Ag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">
              <v:imagedata r:id="rId11" o:title=""/>
              <o:lock v:ext="edit" aspectratio="f"/>
            </v:shape>
            <v:shape id="图表 21" o:spid="_x0000_s2087" type="#_x0000_t75" style="position:absolute;left:5929;top:10111;width:4535;height:3402;visibility:visible;mso-position-horizontal-relative:margin"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wjMPg3QAAAAUBAAAPAAAAZHJzL2Rvd25y&#10;ZXYueG1sTI9BS8NAEIXvQv/DMgVvdpNGrcRsShEUxJNVIb1ts2MSm52N2Uma/nu3XvQy8HiP977J&#10;1pNtxYi9bxwpiBcRCKTSmYYqBe9vj1d3IDxrMrp1hApO6GGdzy4ynRp3pFcct1yJUEI+1Qpq5i6V&#10;0pc1Wu0XrkMK3qfrreYg+0qaXh9DuW3lMopupdUNhYVad/hQY3nYDlbB+PIsYz7tfFx8fH0PzVNS&#10;jAUpdTmfNvcgGCf+C8MZP6BDHpj2biDjRasgPMK/N3irZRKD2Cu4TpIbkHkm/9PnPwA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">
              <v:imagedata r:id="rId12" o:title=""/>
              <o:lock v:ext="edit" aspectratio="f"/>
            </v:shape>
          </v:group>
        </w:pict>
      </w:r>
    </w:p>
    <w:p w:rsidR="00220C3B" w:rsidRDefault="00220C3B" w:rsidP="00220C3B">
      <w:pPr>
        <w:autoSpaceDE w:val="0"/>
        <w:autoSpaceDN w:val="0"/>
        <w:adjustRightInd w:val="0"/>
        <w:spacing w:line="400" w:lineRule="exact"/>
        <w:ind w:firstLineChars="200" w:firstLine="480"/>
        <w:jc w:val="left"/>
        <w:rPr>
          <w:rFonts w:asciiTheme="minorEastAsia" w:hAnsiTheme="minorEastAsia" w:cs="ArialUnicodeMS"/>
          <w:kern w:val="0"/>
          <w:sz w:val="24"/>
          <w:szCs w:val="24"/>
        </w:rPr>
      </w:pPr>
    </w:p>
    <w:p w:rsidR="00220C3B" w:rsidRDefault="00220C3B" w:rsidP="00220C3B">
      <w:pPr>
        <w:autoSpaceDE w:val="0"/>
        <w:autoSpaceDN w:val="0"/>
        <w:adjustRightInd w:val="0"/>
        <w:spacing w:line="400" w:lineRule="exact"/>
        <w:ind w:firstLineChars="200" w:firstLine="480"/>
        <w:jc w:val="left"/>
        <w:rPr>
          <w:rFonts w:asciiTheme="minorEastAsia" w:hAnsiTheme="minorEastAsia" w:cs="ArialUnicodeMS"/>
          <w:kern w:val="0"/>
          <w:sz w:val="24"/>
          <w:szCs w:val="24"/>
        </w:rPr>
      </w:pPr>
    </w:p>
    <w:p w:rsidR="00220C3B" w:rsidRPr="00D607B2" w:rsidRDefault="00220C3B" w:rsidP="00220C3B">
      <w:pPr>
        <w:autoSpaceDE w:val="0"/>
        <w:autoSpaceDN w:val="0"/>
        <w:adjustRightInd w:val="0"/>
        <w:spacing w:line="400" w:lineRule="exact"/>
        <w:ind w:firstLineChars="200" w:firstLine="480"/>
        <w:jc w:val="left"/>
        <w:rPr>
          <w:rFonts w:asciiTheme="minorEastAsia" w:hAnsiTheme="minorEastAsia" w:cs="ArialUnicodeMS"/>
          <w:kern w:val="0"/>
          <w:sz w:val="24"/>
          <w:szCs w:val="24"/>
        </w:rPr>
      </w:pPr>
    </w:p>
    <w:p w:rsidR="00220C3B" w:rsidRPr="00D607B2" w:rsidRDefault="00220C3B" w:rsidP="00220C3B">
      <w:pPr>
        <w:autoSpaceDE w:val="0"/>
        <w:autoSpaceDN w:val="0"/>
        <w:adjustRightInd w:val="0"/>
        <w:spacing w:line="400" w:lineRule="exact"/>
        <w:ind w:firstLineChars="200" w:firstLine="480"/>
        <w:jc w:val="left"/>
        <w:rPr>
          <w:rFonts w:asciiTheme="minorEastAsia" w:hAnsiTheme="minorEastAsia" w:cs="ArialUnicodeMS"/>
          <w:kern w:val="0"/>
          <w:sz w:val="24"/>
          <w:szCs w:val="24"/>
        </w:rPr>
      </w:pPr>
    </w:p>
    <w:p w:rsidR="00220C3B" w:rsidRPr="00D607B2" w:rsidRDefault="00220C3B" w:rsidP="00220C3B">
      <w:pPr>
        <w:autoSpaceDE w:val="0"/>
        <w:autoSpaceDN w:val="0"/>
        <w:adjustRightInd w:val="0"/>
        <w:spacing w:line="400" w:lineRule="exact"/>
        <w:ind w:firstLineChars="200" w:firstLine="480"/>
        <w:jc w:val="left"/>
        <w:rPr>
          <w:rFonts w:asciiTheme="minorEastAsia" w:hAnsiTheme="minorEastAsia" w:cs="ArialUnicodeMS"/>
          <w:kern w:val="0"/>
          <w:sz w:val="24"/>
          <w:szCs w:val="24"/>
        </w:rPr>
      </w:pPr>
    </w:p>
    <w:p w:rsidR="00220C3B" w:rsidRPr="00D607B2" w:rsidRDefault="00220C3B" w:rsidP="00220C3B">
      <w:pPr>
        <w:autoSpaceDE w:val="0"/>
        <w:autoSpaceDN w:val="0"/>
        <w:adjustRightInd w:val="0"/>
        <w:spacing w:line="400" w:lineRule="exact"/>
        <w:ind w:firstLineChars="200" w:firstLine="480"/>
        <w:jc w:val="left"/>
        <w:rPr>
          <w:rFonts w:asciiTheme="minorEastAsia" w:hAnsiTheme="minorEastAsia" w:cs="ArialUnicodeMS"/>
          <w:kern w:val="0"/>
          <w:sz w:val="24"/>
          <w:szCs w:val="24"/>
        </w:rPr>
      </w:pPr>
    </w:p>
    <w:p w:rsidR="00220C3B" w:rsidRPr="00D607B2" w:rsidRDefault="00220C3B" w:rsidP="00220C3B">
      <w:pPr>
        <w:autoSpaceDE w:val="0"/>
        <w:autoSpaceDN w:val="0"/>
        <w:adjustRightInd w:val="0"/>
        <w:spacing w:line="400" w:lineRule="exact"/>
        <w:ind w:firstLineChars="200" w:firstLine="480"/>
        <w:jc w:val="left"/>
        <w:rPr>
          <w:rFonts w:asciiTheme="minorEastAsia" w:hAnsiTheme="minorEastAsia" w:cs="ArialUnicodeMS"/>
          <w:kern w:val="0"/>
          <w:sz w:val="24"/>
          <w:szCs w:val="24"/>
        </w:rPr>
      </w:pPr>
    </w:p>
    <w:p w:rsidR="00220C3B" w:rsidRPr="00D607B2" w:rsidRDefault="00220C3B" w:rsidP="00220C3B">
      <w:pPr>
        <w:autoSpaceDE w:val="0"/>
        <w:autoSpaceDN w:val="0"/>
        <w:adjustRightInd w:val="0"/>
        <w:spacing w:line="400" w:lineRule="exact"/>
        <w:ind w:firstLineChars="200" w:firstLine="480"/>
        <w:jc w:val="left"/>
        <w:rPr>
          <w:rFonts w:asciiTheme="minorEastAsia" w:hAnsiTheme="minorEastAsia" w:cs="ArialUnicodeMS"/>
          <w:kern w:val="0"/>
          <w:sz w:val="24"/>
          <w:szCs w:val="24"/>
        </w:rPr>
      </w:pPr>
    </w:p>
    <w:p w:rsidR="00220C3B" w:rsidRPr="00D607B2" w:rsidRDefault="00220C3B" w:rsidP="00220C3B">
      <w:pPr>
        <w:autoSpaceDE w:val="0"/>
        <w:autoSpaceDN w:val="0"/>
        <w:adjustRightInd w:val="0"/>
        <w:spacing w:line="400" w:lineRule="exact"/>
        <w:jc w:val="center"/>
        <w:rPr>
          <w:rFonts w:asciiTheme="minorEastAsia" w:hAnsiTheme="minorEastAsia" w:cs="ArialUnicodeMS"/>
          <w:kern w:val="0"/>
          <w:szCs w:val="21"/>
        </w:rPr>
      </w:pPr>
      <w:r w:rsidRPr="00A75981">
        <w:rPr>
          <w:rFonts w:asciiTheme="minorEastAsia" w:hAnsiTheme="minorEastAsia" w:cs="ArialUnicodeMS" w:hint="eastAsia"/>
          <w:kern w:val="0"/>
          <w:szCs w:val="21"/>
        </w:rPr>
        <w:t>图</w:t>
      </w:r>
      <w:r w:rsidR="009910DE">
        <w:rPr>
          <w:rFonts w:asciiTheme="minorEastAsia" w:hAnsiTheme="minorEastAsia" w:cs="ArialUnicodeMS" w:hint="eastAsia"/>
          <w:kern w:val="0"/>
          <w:szCs w:val="21"/>
        </w:rPr>
        <w:t>3</w:t>
      </w:r>
      <w:r w:rsidRPr="00D607B2">
        <w:rPr>
          <w:rFonts w:asciiTheme="minorEastAsia" w:hAnsiTheme="minorEastAsia" w:cs="ArialUnicodeMS" w:hint="eastAsia"/>
          <w:kern w:val="0"/>
          <w:szCs w:val="21"/>
        </w:rPr>
        <w:t xml:space="preserve"> 三种类型社会组织人员固定工资与绩效工资情况</w:t>
      </w:r>
    </w:p>
    <w:p w:rsidR="00220C3B" w:rsidRPr="00B61A85" w:rsidRDefault="00B61A85" w:rsidP="00B61A85">
      <w:pPr>
        <w:spacing w:line="400" w:lineRule="exact"/>
        <w:ind w:firstLineChars="200" w:firstLine="482"/>
        <w:outlineLvl w:val="0"/>
        <w:rPr>
          <w:rFonts w:ascii="Calibri" w:eastAsia="宋体" w:hAnsi="Calibri" w:cs="Times New Roman"/>
          <w:b/>
          <w:sz w:val="24"/>
        </w:rPr>
      </w:pPr>
      <w:r w:rsidRPr="00B61A85">
        <w:rPr>
          <w:rFonts w:ascii="Calibri" w:eastAsia="宋体" w:hAnsi="Calibri" w:cs="Times New Roman" w:hint="eastAsia"/>
          <w:b/>
          <w:sz w:val="24"/>
        </w:rPr>
        <w:t>（四）</w:t>
      </w:r>
      <w:r w:rsidR="00220C3B" w:rsidRPr="00B61A85">
        <w:rPr>
          <w:rFonts w:ascii="Calibri" w:eastAsia="宋体" w:hAnsi="Calibri" w:cs="Times New Roman" w:hint="eastAsia"/>
          <w:b/>
          <w:sz w:val="24"/>
        </w:rPr>
        <w:t>薪酬外部竞争性</w:t>
      </w:r>
      <w:r w:rsidR="00A75981" w:rsidRPr="00B61A85">
        <w:rPr>
          <w:rFonts w:ascii="Calibri" w:eastAsia="宋体" w:hAnsi="Calibri" w:cs="Times New Roman" w:hint="eastAsia"/>
          <w:b/>
          <w:sz w:val="24"/>
        </w:rPr>
        <w:t>不强</w:t>
      </w:r>
    </w:p>
    <w:p w:rsidR="009910DE" w:rsidRDefault="009910DE" w:rsidP="00B61A85">
      <w:pPr>
        <w:widowControl/>
        <w:shd w:val="clear" w:color="auto" w:fill="FFFFFF"/>
        <w:spacing w:line="400" w:lineRule="exact"/>
        <w:ind w:firstLine="480"/>
        <w:jc w:val="left"/>
        <w:rPr>
          <w:rFonts w:ascii="Calibri" w:eastAsia="宋体" w:hAnsi="Calibri" w:cs="Times New Roman"/>
        </w:rPr>
      </w:pPr>
      <w:r w:rsidRPr="009910DE">
        <w:rPr>
          <w:rFonts w:ascii="Calibri" w:eastAsia="宋体" w:hAnsi="Calibri" w:cs="Times New Roman" w:hint="eastAsia"/>
        </w:rPr>
        <w:lastRenderedPageBreak/>
        <w:t>薪酬外部竞争性反映了薪酬与行业的差别，及对人才吸引、保留及激励的强度，社会组织薪酬不具备外部竞争性，</w:t>
      </w:r>
      <w:r w:rsidR="00373EE9" w:rsidRPr="009910DE">
        <w:rPr>
          <w:rFonts w:ascii="Calibri" w:eastAsia="宋体" w:hAnsi="Calibri" w:cs="Times New Roman"/>
        </w:rPr>
        <w:t>45%</w:t>
      </w:r>
      <w:r w:rsidR="00373EE9">
        <w:rPr>
          <w:rFonts w:ascii="Calibri" w:eastAsia="宋体" w:hAnsi="Calibri" w:cs="Times New Roman" w:hint="eastAsia"/>
        </w:rPr>
        <w:t>的</w:t>
      </w:r>
      <w:r w:rsidRPr="009910DE">
        <w:rPr>
          <w:rFonts w:ascii="Calibri" w:eastAsia="宋体" w:hAnsi="Calibri" w:cs="Times New Roman"/>
        </w:rPr>
        <w:t>公益慈善类、</w:t>
      </w:r>
      <w:r w:rsidR="00373EE9" w:rsidRPr="009910DE">
        <w:rPr>
          <w:rFonts w:ascii="Calibri" w:eastAsia="宋体" w:hAnsi="Calibri" w:cs="Times New Roman"/>
        </w:rPr>
        <w:t>27%</w:t>
      </w:r>
      <w:r w:rsidR="00373EE9">
        <w:rPr>
          <w:rFonts w:ascii="Calibri" w:eastAsia="宋体" w:hAnsi="Calibri" w:cs="Times New Roman" w:hint="eastAsia"/>
        </w:rPr>
        <w:t>的</w:t>
      </w:r>
      <w:r w:rsidRPr="009910DE">
        <w:rPr>
          <w:rFonts w:ascii="Calibri" w:eastAsia="宋体" w:hAnsi="Calibri" w:cs="Times New Roman"/>
        </w:rPr>
        <w:t>科技类、</w:t>
      </w:r>
      <w:r w:rsidR="00373EE9" w:rsidRPr="009910DE">
        <w:rPr>
          <w:rFonts w:ascii="Calibri" w:eastAsia="宋体" w:hAnsi="Calibri" w:cs="Times New Roman"/>
        </w:rPr>
        <w:t>53%</w:t>
      </w:r>
      <w:r w:rsidR="00373EE9">
        <w:rPr>
          <w:rFonts w:ascii="Calibri" w:eastAsia="宋体" w:hAnsi="Calibri" w:cs="Times New Roman" w:hint="eastAsia"/>
        </w:rPr>
        <w:t>的</w:t>
      </w:r>
      <w:r w:rsidR="00373EE9">
        <w:rPr>
          <w:rFonts w:ascii="Calibri" w:eastAsia="宋体" w:hAnsi="Calibri" w:cs="Times New Roman"/>
        </w:rPr>
        <w:t>行业协会商会类社会组</w:t>
      </w:r>
      <w:r w:rsidRPr="009910DE">
        <w:rPr>
          <w:rFonts w:ascii="Calibri" w:eastAsia="宋体" w:hAnsi="Calibri" w:cs="Times New Roman"/>
        </w:rPr>
        <w:t>认为其工资水平</w:t>
      </w:r>
      <w:r w:rsidR="00373EE9">
        <w:rPr>
          <w:rFonts w:ascii="Calibri" w:eastAsia="宋体" w:hAnsi="Calibri" w:cs="Times New Roman" w:hint="eastAsia"/>
        </w:rPr>
        <w:t>不高，即</w:t>
      </w:r>
      <w:r w:rsidRPr="009910DE">
        <w:rPr>
          <w:rFonts w:ascii="Calibri" w:eastAsia="宋体" w:hAnsi="Calibri" w:cs="Times New Roman"/>
        </w:rPr>
        <w:t>中等以下（图</w:t>
      </w:r>
      <w:r>
        <w:rPr>
          <w:rFonts w:ascii="Calibri" w:eastAsia="宋体" w:hAnsi="Calibri" w:cs="Times New Roman" w:hint="eastAsia"/>
        </w:rPr>
        <w:t>4</w:t>
      </w:r>
      <w:r w:rsidRPr="009910DE">
        <w:rPr>
          <w:rFonts w:ascii="Calibri" w:eastAsia="宋体" w:hAnsi="Calibri" w:cs="Times New Roman"/>
        </w:rPr>
        <w:t>）。</w:t>
      </w:r>
    </w:p>
    <w:p w:rsidR="00B61A85" w:rsidRDefault="00B61A85" w:rsidP="00B61A85">
      <w:pPr>
        <w:widowControl/>
        <w:shd w:val="clear" w:color="auto" w:fill="FFFFFF"/>
        <w:spacing w:line="400" w:lineRule="exact"/>
        <w:ind w:firstLine="480"/>
        <w:jc w:val="left"/>
        <w:rPr>
          <w:rFonts w:ascii="Calibri" w:eastAsia="宋体" w:hAnsi="Calibri" w:cs="Times New Roman"/>
        </w:rPr>
      </w:pPr>
    </w:p>
    <w:p w:rsidR="00B61A85" w:rsidRDefault="00B61A85" w:rsidP="00B61A85">
      <w:pPr>
        <w:widowControl/>
        <w:shd w:val="clear" w:color="auto" w:fill="FFFFFF"/>
        <w:spacing w:line="400" w:lineRule="exact"/>
        <w:ind w:firstLine="480"/>
        <w:jc w:val="left"/>
        <w:rPr>
          <w:rFonts w:ascii="Calibri" w:eastAsia="宋体" w:hAnsi="Calibri" w:cs="Times New Roman"/>
        </w:rPr>
      </w:pPr>
    </w:p>
    <w:p w:rsidR="00B61A85" w:rsidRDefault="00B61A85" w:rsidP="00B61A85">
      <w:pPr>
        <w:widowControl/>
        <w:shd w:val="clear" w:color="auto" w:fill="FFFFFF"/>
        <w:spacing w:line="400" w:lineRule="exact"/>
        <w:ind w:firstLine="480"/>
        <w:jc w:val="left"/>
        <w:rPr>
          <w:rFonts w:ascii="Calibri" w:eastAsia="宋体" w:hAnsi="Calibri" w:cs="Times New Roman"/>
        </w:rPr>
      </w:pPr>
    </w:p>
    <w:p w:rsidR="00B61A85" w:rsidRDefault="00B61A85" w:rsidP="00B61A85">
      <w:pPr>
        <w:widowControl/>
        <w:shd w:val="clear" w:color="auto" w:fill="FFFFFF"/>
        <w:spacing w:line="400" w:lineRule="exact"/>
        <w:ind w:firstLine="480"/>
        <w:jc w:val="left"/>
        <w:rPr>
          <w:rFonts w:ascii="Calibri" w:eastAsia="宋体" w:hAnsi="Calibri" w:cs="Times New Roman"/>
        </w:rPr>
      </w:pPr>
    </w:p>
    <w:p w:rsidR="00B61A85" w:rsidRPr="009910DE" w:rsidRDefault="00B61A85" w:rsidP="00B61A85">
      <w:pPr>
        <w:widowControl/>
        <w:shd w:val="clear" w:color="auto" w:fill="FFFFFF"/>
        <w:spacing w:line="400" w:lineRule="exact"/>
        <w:ind w:firstLine="480"/>
        <w:jc w:val="left"/>
        <w:rPr>
          <w:rFonts w:ascii="Calibri" w:eastAsia="宋体" w:hAnsi="Calibri" w:cs="Times New Roman"/>
        </w:rPr>
      </w:pPr>
    </w:p>
    <w:p w:rsidR="00220C3B" w:rsidRPr="00071A19" w:rsidRDefault="00220C3B" w:rsidP="00071A19">
      <w:pPr>
        <w:ind w:firstLineChars="200" w:firstLine="420"/>
        <w:rPr>
          <w:rFonts w:ascii="Calibri" w:eastAsia="宋体" w:hAnsi="Calibri" w:cs="Times New Roman"/>
        </w:rPr>
      </w:pPr>
      <w:r w:rsidRPr="00071A19">
        <w:rPr>
          <w:rFonts w:ascii="Calibri" w:eastAsia="宋体" w:hAnsi="Calibri" w:cs="Times New Roman" w:hint="eastAsia"/>
          <w:noProof/>
        </w:rPr>
        <w:drawing>
          <wp:anchor distT="0" distB="0" distL="114300" distR="114300" simplePos="0" relativeHeight="251701248" behindDoc="0" locked="0" layoutInCell="1" allowOverlap="1">
            <wp:simplePos x="0" y="0"/>
            <wp:positionH relativeFrom="margin">
              <wp:posOffset>195967</wp:posOffset>
            </wp:positionH>
            <wp:positionV relativeFrom="paragraph">
              <wp:posOffset>7951</wp:posOffset>
            </wp:positionV>
            <wp:extent cx="4783537" cy="2345635"/>
            <wp:effectExtent l="19050" t="0" r="0" b="0"/>
            <wp:wrapNone/>
            <wp:docPr id="17" name="图表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220C3B" w:rsidRPr="00D607B2" w:rsidRDefault="00220C3B" w:rsidP="00220C3B">
      <w:pPr>
        <w:autoSpaceDE w:val="0"/>
        <w:autoSpaceDN w:val="0"/>
        <w:adjustRightInd w:val="0"/>
        <w:spacing w:line="400" w:lineRule="exact"/>
        <w:ind w:firstLineChars="200" w:firstLine="480"/>
        <w:jc w:val="left"/>
        <w:rPr>
          <w:rFonts w:asciiTheme="minorEastAsia" w:hAnsiTheme="minorEastAsia" w:cs="ArialUnicodeMS"/>
          <w:kern w:val="0"/>
          <w:sz w:val="24"/>
          <w:szCs w:val="24"/>
        </w:rPr>
      </w:pPr>
    </w:p>
    <w:p w:rsidR="00220C3B" w:rsidRPr="00D607B2" w:rsidRDefault="00220C3B" w:rsidP="00220C3B">
      <w:pPr>
        <w:autoSpaceDE w:val="0"/>
        <w:autoSpaceDN w:val="0"/>
        <w:adjustRightInd w:val="0"/>
        <w:spacing w:line="400" w:lineRule="exact"/>
        <w:ind w:firstLineChars="200" w:firstLine="480"/>
        <w:jc w:val="left"/>
        <w:rPr>
          <w:rFonts w:asciiTheme="minorEastAsia" w:hAnsiTheme="minorEastAsia" w:cs="ArialUnicodeMS"/>
          <w:kern w:val="0"/>
          <w:sz w:val="24"/>
          <w:szCs w:val="24"/>
        </w:rPr>
      </w:pPr>
    </w:p>
    <w:p w:rsidR="00220C3B" w:rsidRPr="00D607B2" w:rsidRDefault="00220C3B" w:rsidP="00220C3B">
      <w:pPr>
        <w:autoSpaceDE w:val="0"/>
        <w:autoSpaceDN w:val="0"/>
        <w:adjustRightInd w:val="0"/>
        <w:spacing w:line="400" w:lineRule="exact"/>
        <w:ind w:firstLineChars="200" w:firstLine="480"/>
        <w:jc w:val="left"/>
        <w:rPr>
          <w:rFonts w:asciiTheme="minorEastAsia" w:hAnsiTheme="minorEastAsia" w:cs="ArialUnicodeMS"/>
          <w:kern w:val="0"/>
          <w:sz w:val="24"/>
          <w:szCs w:val="24"/>
        </w:rPr>
      </w:pPr>
    </w:p>
    <w:p w:rsidR="00220C3B" w:rsidRDefault="00220C3B" w:rsidP="00220C3B">
      <w:pPr>
        <w:autoSpaceDE w:val="0"/>
        <w:autoSpaceDN w:val="0"/>
        <w:adjustRightInd w:val="0"/>
        <w:spacing w:line="400" w:lineRule="exact"/>
        <w:ind w:firstLineChars="200" w:firstLine="480"/>
        <w:jc w:val="left"/>
        <w:rPr>
          <w:rFonts w:asciiTheme="minorEastAsia" w:hAnsiTheme="minorEastAsia" w:cs="ArialUnicodeMS"/>
          <w:kern w:val="0"/>
          <w:sz w:val="24"/>
          <w:szCs w:val="24"/>
        </w:rPr>
      </w:pPr>
    </w:p>
    <w:p w:rsidR="00220C3B" w:rsidRPr="00D607B2" w:rsidRDefault="00220C3B" w:rsidP="00220C3B">
      <w:pPr>
        <w:autoSpaceDE w:val="0"/>
        <w:autoSpaceDN w:val="0"/>
        <w:adjustRightInd w:val="0"/>
        <w:spacing w:line="400" w:lineRule="exact"/>
        <w:ind w:firstLineChars="200" w:firstLine="480"/>
        <w:jc w:val="left"/>
        <w:rPr>
          <w:rFonts w:asciiTheme="minorEastAsia" w:hAnsiTheme="minorEastAsia" w:cs="ArialUnicodeMS"/>
          <w:kern w:val="0"/>
          <w:sz w:val="24"/>
          <w:szCs w:val="24"/>
        </w:rPr>
      </w:pPr>
    </w:p>
    <w:p w:rsidR="00220C3B" w:rsidRPr="00D607B2" w:rsidRDefault="00220C3B" w:rsidP="00220C3B">
      <w:pPr>
        <w:autoSpaceDE w:val="0"/>
        <w:autoSpaceDN w:val="0"/>
        <w:adjustRightInd w:val="0"/>
        <w:spacing w:line="400" w:lineRule="exact"/>
        <w:ind w:firstLineChars="200" w:firstLine="480"/>
        <w:jc w:val="left"/>
        <w:rPr>
          <w:rFonts w:asciiTheme="minorEastAsia" w:hAnsiTheme="minorEastAsia" w:cs="ArialUnicodeMS"/>
          <w:kern w:val="0"/>
          <w:sz w:val="24"/>
          <w:szCs w:val="24"/>
        </w:rPr>
      </w:pPr>
    </w:p>
    <w:p w:rsidR="00220C3B" w:rsidRPr="00D607B2" w:rsidRDefault="00220C3B" w:rsidP="00220C3B">
      <w:pPr>
        <w:autoSpaceDE w:val="0"/>
        <w:autoSpaceDN w:val="0"/>
        <w:adjustRightInd w:val="0"/>
        <w:spacing w:line="400" w:lineRule="exact"/>
        <w:ind w:firstLineChars="200" w:firstLine="480"/>
        <w:jc w:val="left"/>
        <w:rPr>
          <w:rFonts w:asciiTheme="minorEastAsia" w:hAnsiTheme="minorEastAsia" w:cs="ArialUnicodeMS"/>
          <w:kern w:val="0"/>
          <w:sz w:val="24"/>
          <w:szCs w:val="24"/>
        </w:rPr>
      </w:pPr>
    </w:p>
    <w:p w:rsidR="00220C3B" w:rsidRPr="00D607B2" w:rsidRDefault="00220C3B" w:rsidP="00220C3B">
      <w:pPr>
        <w:autoSpaceDE w:val="0"/>
        <w:autoSpaceDN w:val="0"/>
        <w:adjustRightInd w:val="0"/>
        <w:spacing w:line="400" w:lineRule="exact"/>
        <w:ind w:firstLineChars="200" w:firstLine="480"/>
        <w:jc w:val="left"/>
        <w:rPr>
          <w:rFonts w:asciiTheme="minorEastAsia" w:hAnsiTheme="minorEastAsia" w:cs="ArialUnicodeMS"/>
          <w:kern w:val="0"/>
          <w:sz w:val="24"/>
          <w:szCs w:val="24"/>
        </w:rPr>
      </w:pPr>
    </w:p>
    <w:p w:rsidR="00220C3B" w:rsidRPr="00D607B2" w:rsidRDefault="00220C3B" w:rsidP="00220C3B">
      <w:pPr>
        <w:autoSpaceDE w:val="0"/>
        <w:autoSpaceDN w:val="0"/>
        <w:adjustRightInd w:val="0"/>
        <w:spacing w:line="400" w:lineRule="exact"/>
        <w:ind w:firstLineChars="200" w:firstLine="480"/>
        <w:jc w:val="left"/>
        <w:rPr>
          <w:rFonts w:asciiTheme="minorEastAsia" w:hAnsiTheme="minorEastAsia" w:cs="ArialUnicodeMS"/>
          <w:kern w:val="0"/>
          <w:sz w:val="24"/>
          <w:szCs w:val="24"/>
        </w:rPr>
      </w:pPr>
    </w:p>
    <w:p w:rsidR="00220C3B" w:rsidRPr="00D607B2" w:rsidRDefault="00220C3B" w:rsidP="00220C3B">
      <w:pPr>
        <w:autoSpaceDE w:val="0"/>
        <w:autoSpaceDN w:val="0"/>
        <w:adjustRightInd w:val="0"/>
        <w:spacing w:line="400" w:lineRule="exact"/>
        <w:jc w:val="center"/>
        <w:rPr>
          <w:rFonts w:asciiTheme="minorEastAsia" w:hAnsiTheme="minorEastAsia" w:cs="ArialUnicodeMS"/>
          <w:kern w:val="0"/>
          <w:szCs w:val="21"/>
        </w:rPr>
      </w:pPr>
      <w:r w:rsidRPr="00A75981">
        <w:rPr>
          <w:rFonts w:asciiTheme="minorEastAsia" w:hAnsiTheme="minorEastAsia" w:cs="ArialUnicodeMS" w:hint="eastAsia"/>
          <w:kern w:val="0"/>
          <w:szCs w:val="21"/>
        </w:rPr>
        <w:t>图</w:t>
      </w:r>
      <w:r w:rsidR="009910DE">
        <w:rPr>
          <w:rFonts w:asciiTheme="minorEastAsia" w:hAnsiTheme="minorEastAsia" w:cs="ArialUnicodeMS" w:hint="eastAsia"/>
          <w:kern w:val="0"/>
          <w:szCs w:val="21"/>
        </w:rPr>
        <w:t>4</w:t>
      </w:r>
      <w:r w:rsidRPr="00D607B2">
        <w:rPr>
          <w:rFonts w:asciiTheme="minorEastAsia" w:hAnsiTheme="minorEastAsia" w:cs="ArialUnicodeMS" w:hint="eastAsia"/>
          <w:kern w:val="0"/>
          <w:szCs w:val="21"/>
        </w:rPr>
        <w:t xml:space="preserve"> 三种类型社会组织人员工资水平情况</w:t>
      </w:r>
    </w:p>
    <w:p w:rsidR="0023264F" w:rsidRPr="00B61A85" w:rsidRDefault="00164256" w:rsidP="00B61A85">
      <w:pPr>
        <w:spacing w:line="400" w:lineRule="exact"/>
        <w:ind w:firstLineChars="200" w:firstLine="482"/>
        <w:rPr>
          <w:rFonts w:asciiTheme="minorEastAsia" w:hAnsiTheme="minorEastAsia" w:cs="Times New Roman"/>
          <w:b/>
          <w:sz w:val="24"/>
        </w:rPr>
      </w:pPr>
      <w:r w:rsidRPr="00B61A85">
        <w:rPr>
          <w:rFonts w:asciiTheme="minorEastAsia" w:hAnsiTheme="minorEastAsia" w:cs="Times New Roman" w:hint="eastAsia"/>
          <w:b/>
          <w:sz w:val="24"/>
        </w:rPr>
        <w:t>二、</w:t>
      </w:r>
      <w:r w:rsidR="0023264F" w:rsidRPr="00B61A85">
        <w:rPr>
          <w:rFonts w:asciiTheme="minorEastAsia" w:hAnsiTheme="minorEastAsia" w:cs="Times New Roman" w:hint="eastAsia"/>
          <w:b/>
          <w:sz w:val="24"/>
        </w:rPr>
        <w:t>建立完善社会组织薪酬</w:t>
      </w:r>
      <w:r w:rsidR="00D43B8B" w:rsidRPr="00B61A85">
        <w:rPr>
          <w:rFonts w:asciiTheme="minorEastAsia" w:hAnsiTheme="minorEastAsia" w:cs="Times New Roman" w:hint="eastAsia"/>
          <w:b/>
          <w:sz w:val="24"/>
        </w:rPr>
        <w:t>薪酬激励机制建议</w:t>
      </w:r>
    </w:p>
    <w:p w:rsidR="00D43B8B" w:rsidRPr="00B61A85" w:rsidRDefault="00D43B8B" w:rsidP="00B61A85">
      <w:pPr>
        <w:spacing w:line="400" w:lineRule="exact"/>
        <w:ind w:firstLineChars="200" w:firstLine="482"/>
        <w:outlineLvl w:val="0"/>
        <w:rPr>
          <w:rFonts w:asciiTheme="minorEastAsia" w:hAnsiTheme="minorEastAsia" w:cs="Times New Roman"/>
          <w:b/>
          <w:sz w:val="24"/>
        </w:rPr>
      </w:pPr>
      <w:r w:rsidRPr="00B61A85">
        <w:rPr>
          <w:rFonts w:asciiTheme="minorEastAsia" w:hAnsiTheme="minorEastAsia" w:cs="Times New Roman" w:hint="eastAsia"/>
          <w:b/>
          <w:sz w:val="24"/>
        </w:rPr>
        <w:t>（一）宏观政策建议</w:t>
      </w:r>
    </w:p>
    <w:p w:rsidR="00D43B8B" w:rsidRPr="00B61A85" w:rsidRDefault="00D43B8B" w:rsidP="00B61A85">
      <w:pPr>
        <w:spacing w:line="400" w:lineRule="exact"/>
        <w:ind w:firstLineChars="200" w:firstLine="422"/>
        <w:rPr>
          <w:rFonts w:asciiTheme="minorEastAsia" w:hAnsiTheme="minorEastAsia" w:cs="Times New Roman"/>
          <w:b/>
        </w:rPr>
      </w:pPr>
      <w:bookmarkStart w:id="1" w:name="_Toc401223476"/>
      <w:r w:rsidRPr="00B61A85">
        <w:rPr>
          <w:rFonts w:asciiTheme="minorEastAsia" w:hAnsiTheme="minorEastAsia" w:cs="Times New Roman" w:hint="eastAsia"/>
          <w:b/>
        </w:rPr>
        <w:t>1、社会组织免税资格认定相关规定中取消关于社平工资2倍的限制</w:t>
      </w:r>
      <w:bookmarkEnd w:id="1"/>
    </w:p>
    <w:p w:rsidR="00D43B8B" w:rsidRPr="00B61A85" w:rsidRDefault="00D43B8B"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hint="eastAsia"/>
        </w:rPr>
        <w:t>《关于非营利组织免税资格认定管理有关问题的通知》</w:t>
      </w:r>
      <w:r w:rsidR="00373EE9" w:rsidRPr="00B61A85">
        <w:rPr>
          <w:rFonts w:asciiTheme="minorEastAsia" w:hAnsiTheme="minorEastAsia" w:cs="Times New Roman" w:hint="eastAsia"/>
        </w:rPr>
        <w:t>（财政部、国家税务总局颁布）</w:t>
      </w:r>
      <w:r w:rsidRPr="00B61A85">
        <w:rPr>
          <w:rFonts w:asciiTheme="minorEastAsia" w:hAnsiTheme="minorEastAsia" w:cs="Times New Roman" w:hint="eastAsia"/>
        </w:rPr>
        <w:t>中对于非营利组织获得免税资格必须具备的条件中规定，</w:t>
      </w:r>
      <w:r w:rsidR="00373EE9" w:rsidRPr="00B61A85">
        <w:rPr>
          <w:rFonts w:asciiTheme="minorEastAsia" w:hAnsiTheme="minorEastAsia" w:cs="Times New Roman" w:hint="eastAsia"/>
        </w:rPr>
        <w:t>非营利组织从业人员工资福利的</w:t>
      </w:r>
      <w:r w:rsidR="00674556" w:rsidRPr="00B61A85">
        <w:rPr>
          <w:rFonts w:asciiTheme="minorEastAsia" w:hAnsiTheme="minorEastAsia" w:cs="Times New Roman" w:hint="eastAsia"/>
        </w:rPr>
        <w:t>开支必须控制在规定的比例内，不能以任何形式分配该组织中的财产。</w:t>
      </w:r>
      <w:r w:rsidRPr="00B61A85">
        <w:rPr>
          <w:rFonts w:asciiTheme="minorEastAsia" w:hAnsiTheme="minorEastAsia" w:cs="Times New Roman" w:hint="eastAsia"/>
        </w:rPr>
        <w:t>其中：工作人员平均工资薪金水平不得超过上年度税务登记所在地人均工资水平的两倍，工作人员福利按照国家有关规定执行。</w:t>
      </w:r>
      <w:r w:rsidR="00881D45" w:rsidRPr="00B61A85">
        <w:rPr>
          <w:rFonts w:asciiTheme="minorEastAsia" w:hAnsiTheme="minorEastAsia" w:cs="Times New Roman" w:hint="eastAsia"/>
        </w:rPr>
        <w:t>笔者</w:t>
      </w:r>
      <w:r w:rsidRPr="00B61A85">
        <w:rPr>
          <w:rFonts w:asciiTheme="minorEastAsia" w:hAnsiTheme="minorEastAsia" w:cs="Times New Roman" w:hint="eastAsia"/>
        </w:rPr>
        <w:t>采样的</w:t>
      </w:r>
      <w:r w:rsidR="00063B0C" w:rsidRPr="00B61A85">
        <w:rPr>
          <w:rFonts w:asciiTheme="minorEastAsia" w:hAnsiTheme="minorEastAsia" w:cs="Times New Roman" w:hint="eastAsia"/>
        </w:rPr>
        <w:t>社会组织</w:t>
      </w:r>
      <w:r w:rsidRPr="00B61A85">
        <w:rPr>
          <w:rFonts w:asciiTheme="minorEastAsia" w:hAnsiTheme="minorEastAsia" w:cs="Times New Roman" w:hint="eastAsia"/>
        </w:rPr>
        <w:t>中部分行业协会商会类超过这一标准，为了更好地发挥提供服务、反映诉求、规范行为的作用，行业协会商会必须在吸引高素质人才和争取免税资格之间做出取舍。</w:t>
      </w:r>
    </w:p>
    <w:p w:rsidR="00D43B8B" w:rsidRPr="00B61A85" w:rsidRDefault="00A75981"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hint="eastAsia"/>
        </w:rPr>
        <w:t>根据党的</w:t>
      </w:r>
      <w:r w:rsidR="00D43B8B" w:rsidRPr="00B61A85">
        <w:rPr>
          <w:rFonts w:asciiTheme="minorEastAsia" w:hAnsiTheme="minorEastAsia" w:cs="Times New Roman" w:hint="eastAsia"/>
        </w:rPr>
        <w:t>十八届三中全会</w:t>
      </w:r>
      <w:r w:rsidRPr="00B61A85">
        <w:rPr>
          <w:rFonts w:asciiTheme="minorEastAsia" w:hAnsiTheme="minorEastAsia" w:cs="Times New Roman" w:hint="eastAsia"/>
        </w:rPr>
        <w:t>精神，</w:t>
      </w:r>
      <w:r w:rsidR="00D43B8B" w:rsidRPr="00B61A85">
        <w:rPr>
          <w:rFonts w:asciiTheme="minorEastAsia" w:hAnsiTheme="minorEastAsia" w:cs="Times New Roman" w:hint="eastAsia"/>
        </w:rPr>
        <w:t>社会组织若想在社会建设中发挥重要作用，各政府部门应当形成合力去除那些限制社会组织发展的不合理体制机制。同时，在科学人才观的指导下建立健全与人才的业绩和贡献紧密联系的分配制度和激励机制，充分发挥市场配置资源的主体作用。社会组织应结合自身情况，按照效率优先兼顾公平的原则，按照市场规律建立薪酬制度，确定专职工作人员的薪酬水平。非营利组织免税资格认定的政策杠杆只会导致社会组织在人力资源市场竞争中处于劣势，在不同所有制单位人才流动中竖起藩篱，</w:t>
      </w:r>
      <w:r w:rsidR="00D43B8B" w:rsidRPr="00B61A85">
        <w:rPr>
          <w:rFonts w:asciiTheme="minorEastAsia" w:hAnsiTheme="minorEastAsia" w:cs="Times New Roman" w:hint="eastAsia"/>
        </w:rPr>
        <w:lastRenderedPageBreak/>
        <w:t>阻塞党政人才、企业经营管理人才和专业技术人才向社会组织流动的渠道，恶化社会组织人才成长与发展的生态环境。因此，建议在通知中删除关于工作人员平均工资薪金水平不得超过上年度税务登记所在地人均工资水平的两倍的规定。</w:t>
      </w:r>
    </w:p>
    <w:p w:rsidR="00D43B8B" w:rsidRPr="00B61A85" w:rsidRDefault="00D43B8B" w:rsidP="00B61A85">
      <w:pPr>
        <w:spacing w:line="400" w:lineRule="exact"/>
        <w:ind w:firstLineChars="200" w:firstLine="422"/>
        <w:outlineLvl w:val="0"/>
        <w:rPr>
          <w:rFonts w:asciiTheme="minorEastAsia" w:hAnsiTheme="minorEastAsia" w:cs="Times New Roman"/>
          <w:b/>
        </w:rPr>
      </w:pPr>
      <w:bookmarkStart w:id="2" w:name="_Toc401223477"/>
      <w:r w:rsidRPr="00B61A85">
        <w:rPr>
          <w:rFonts w:asciiTheme="minorEastAsia" w:hAnsiTheme="minorEastAsia" w:cs="Times New Roman" w:hint="eastAsia"/>
          <w:b/>
        </w:rPr>
        <w:t>2、参照属地工资指导线，建立健全社会组织工资正常增长机制</w:t>
      </w:r>
      <w:bookmarkEnd w:id="2"/>
    </w:p>
    <w:p w:rsidR="00881D45" w:rsidRPr="00B61A85" w:rsidRDefault="00D43B8B"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hint="eastAsia"/>
        </w:rPr>
        <w:t xml:space="preserve"> </w:t>
      </w:r>
      <w:r w:rsidR="00063B0C" w:rsidRPr="00B61A85">
        <w:rPr>
          <w:rFonts w:asciiTheme="minorEastAsia" w:hAnsiTheme="minorEastAsia" w:cs="Times New Roman" w:hint="eastAsia"/>
        </w:rPr>
        <w:t>社会组织</w:t>
      </w:r>
      <w:r w:rsidRPr="00B61A85">
        <w:rPr>
          <w:rFonts w:asciiTheme="minorEastAsia" w:hAnsiTheme="minorEastAsia" w:cs="Times New Roman" w:hint="eastAsia"/>
        </w:rPr>
        <w:t>工资正常增长机制是指其从业人员工资随社会经济效益提高并与自身有关因素变化而相互协调、合理增长的制度化运行方式。积极推进</w:t>
      </w:r>
      <w:r w:rsidR="00063B0C" w:rsidRPr="00B61A85">
        <w:rPr>
          <w:rFonts w:asciiTheme="minorEastAsia" w:hAnsiTheme="minorEastAsia" w:cs="Times New Roman" w:hint="eastAsia"/>
        </w:rPr>
        <w:t>社会组织</w:t>
      </w:r>
      <w:r w:rsidRPr="00B61A85">
        <w:rPr>
          <w:rFonts w:asciiTheme="minorEastAsia" w:hAnsiTheme="minorEastAsia" w:cs="Times New Roman" w:hint="eastAsia"/>
        </w:rPr>
        <w:t xml:space="preserve">工资分配制度改革，研究建立健全从业人员薪酬正常增长机制，对于增强社会组织活力，充分调动从业人员的积极性和创造性，优化社会治理格局具有重要的现实意义。 </w:t>
      </w:r>
      <w:r w:rsidR="00063B0C" w:rsidRPr="00B61A85">
        <w:rPr>
          <w:rFonts w:asciiTheme="minorEastAsia" w:hAnsiTheme="minorEastAsia" w:cs="Times New Roman" w:hint="eastAsia"/>
        </w:rPr>
        <w:t>社会组织</w:t>
      </w:r>
      <w:r w:rsidRPr="00B61A85">
        <w:rPr>
          <w:rFonts w:asciiTheme="minorEastAsia" w:hAnsiTheme="minorEastAsia" w:cs="Times New Roman" w:hint="eastAsia"/>
        </w:rPr>
        <w:t>应根据住所地人力资源社会保障部门每年公布的企业工资指导线合理确定本组织当年的工资增长率。</w:t>
      </w:r>
    </w:p>
    <w:p w:rsidR="009910DE" w:rsidRPr="00B61A85" w:rsidRDefault="009910DE" w:rsidP="00B61A85">
      <w:pPr>
        <w:spacing w:line="400" w:lineRule="exact"/>
        <w:ind w:firstLineChars="200" w:firstLine="422"/>
        <w:rPr>
          <w:rFonts w:asciiTheme="minorEastAsia" w:hAnsiTheme="minorEastAsia" w:cs="Times New Roman"/>
          <w:b/>
        </w:rPr>
      </w:pPr>
      <w:r w:rsidRPr="00B61A85">
        <w:rPr>
          <w:rFonts w:asciiTheme="minorEastAsia" w:hAnsiTheme="minorEastAsia" w:cs="Times New Roman"/>
          <w:b/>
        </w:rPr>
        <w:t>3、突破制度障碍，创新人才激励机制</w:t>
      </w:r>
    </w:p>
    <w:p w:rsidR="009910DE" w:rsidRPr="009910DE" w:rsidRDefault="009910DE" w:rsidP="00B61A85">
      <w:pPr>
        <w:spacing w:line="400" w:lineRule="exact"/>
        <w:ind w:firstLineChars="200" w:firstLine="420"/>
        <w:rPr>
          <w:rFonts w:ascii="Calibri" w:eastAsia="宋体" w:hAnsi="Calibri" w:cs="Times New Roman"/>
        </w:rPr>
      </w:pPr>
      <w:r w:rsidRPr="00B61A85">
        <w:rPr>
          <w:rFonts w:asciiTheme="minorEastAsia" w:hAnsiTheme="minorEastAsia" w:cs="Times New Roman" w:hint="eastAsia"/>
        </w:rPr>
        <w:t>随着社会经济发展的需要，我国社会组织迎来了一个快速发展的时期</w:t>
      </w:r>
      <w:r w:rsidRPr="00B61A85">
        <w:rPr>
          <w:rFonts w:asciiTheme="minorEastAsia" w:hAnsiTheme="minorEastAsia" w:cs="Times New Roman"/>
        </w:rPr>
        <w:t>，</w:t>
      </w:r>
      <w:r w:rsidRPr="00B61A85">
        <w:rPr>
          <w:rFonts w:asciiTheme="minorEastAsia" w:hAnsiTheme="minorEastAsia" w:cs="Times New Roman" w:hint="eastAsia"/>
        </w:rPr>
        <w:t>但</w:t>
      </w:r>
      <w:r w:rsidRPr="00B61A85">
        <w:rPr>
          <w:rFonts w:asciiTheme="minorEastAsia" w:hAnsiTheme="minorEastAsia" w:cs="Times New Roman"/>
        </w:rPr>
        <w:t>有关社会组织的薪酬体系</w:t>
      </w:r>
      <w:r w:rsidRPr="00B61A85">
        <w:rPr>
          <w:rFonts w:asciiTheme="minorEastAsia" w:hAnsiTheme="minorEastAsia" w:cs="Times New Roman" w:hint="eastAsia"/>
        </w:rPr>
        <w:t>尚缺乏系统的研究</w:t>
      </w:r>
      <w:r w:rsidRPr="00B61A85">
        <w:rPr>
          <w:rFonts w:asciiTheme="minorEastAsia" w:hAnsiTheme="minorEastAsia" w:cs="Times New Roman"/>
        </w:rPr>
        <w:t>，</w:t>
      </w:r>
      <w:r w:rsidRPr="00B61A85">
        <w:rPr>
          <w:rFonts w:asciiTheme="minorEastAsia" w:hAnsiTheme="minorEastAsia" w:cs="Times New Roman" w:hint="eastAsia"/>
        </w:rPr>
        <w:t>相关法律法规极度匮乏。</w:t>
      </w:r>
      <w:r w:rsidRPr="00B61A85">
        <w:rPr>
          <w:rFonts w:asciiTheme="minorEastAsia" w:hAnsiTheme="minorEastAsia" w:cs="Times New Roman"/>
        </w:rPr>
        <w:t>针对大型社会组织仅有一些规定、办法和条例来指导其薪酬制度。国务院《社会团体登记管理条例》第29条规定</w:t>
      </w:r>
      <w:r w:rsidRPr="00B61A85">
        <w:rPr>
          <w:rFonts w:asciiTheme="minorEastAsia" w:hAnsiTheme="minorEastAsia" w:cs="Times New Roman" w:hint="eastAsia"/>
        </w:rPr>
        <w:t>“</w:t>
      </w:r>
      <w:r w:rsidRPr="00B61A85">
        <w:rPr>
          <w:rFonts w:asciiTheme="minorEastAsia" w:hAnsiTheme="minorEastAsia" w:cs="Times New Roman"/>
        </w:rPr>
        <w:t>社会团体专职工作人员的工资和保险福利待遇，参照国家对事业单位的有关规定执行</w:t>
      </w:r>
      <w:r w:rsidRPr="00B61A85">
        <w:rPr>
          <w:rFonts w:asciiTheme="minorEastAsia" w:hAnsiTheme="minorEastAsia" w:cs="Times New Roman" w:hint="eastAsia"/>
        </w:rPr>
        <w:t>”</w:t>
      </w:r>
      <w:r w:rsidRPr="00B61A85">
        <w:rPr>
          <w:rFonts w:asciiTheme="minorEastAsia" w:hAnsiTheme="minorEastAsia" w:cs="Times New Roman"/>
        </w:rPr>
        <w:t xml:space="preserve"> 。</w:t>
      </w:r>
      <w:r w:rsidRPr="009910DE">
        <w:rPr>
          <w:rFonts w:ascii="Calibri" w:eastAsia="宋体" w:hAnsi="Calibri" w:cs="Times New Roman"/>
        </w:rPr>
        <w:t>同时，</w:t>
      </w:r>
      <w:r w:rsidRPr="009910DE">
        <w:rPr>
          <w:rFonts w:ascii="Calibri" w:eastAsia="宋体" w:hAnsi="Calibri" w:cs="Times New Roman"/>
        </w:rPr>
        <w:t>2004</w:t>
      </w:r>
      <w:r w:rsidRPr="009910DE">
        <w:rPr>
          <w:rFonts w:ascii="Calibri" w:eastAsia="宋体" w:hAnsi="Calibri" w:cs="Times New Roman"/>
        </w:rPr>
        <w:t>年颁布的《基金会管理条例》第</w:t>
      </w:r>
      <w:r w:rsidRPr="009910DE">
        <w:rPr>
          <w:rFonts w:ascii="Calibri" w:eastAsia="宋体" w:hAnsi="Calibri" w:cs="Times New Roman"/>
        </w:rPr>
        <w:t>29</w:t>
      </w:r>
      <w:r w:rsidRPr="009910DE">
        <w:rPr>
          <w:rFonts w:ascii="Calibri" w:eastAsia="宋体" w:hAnsi="Calibri" w:cs="Times New Roman"/>
        </w:rPr>
        <w:t>条规定：基金会工作人员工资福利和行政办公支出不得超过当年总支出的</w:t>
      </w:r>
      <w:r w:rsidRPr="009910DE">
        <w:rPr>
          <w:rFonts w:ascii="Calibri" w:eastAsia="宋体" w:hAnsi="Calibri" w:cs="Times New Roman"/>
        </w:rPr>
        <w:t>10</w:t>
      </w:r>
      <w:r w:rsidRPr="009910DE">
        <w:rPr>
          <w:rFonts w:ascii="Calibri" w:eastAsia="宋体" w:hAnsi="Calibri" w:cs="Times New Roman"/>
        </w:rPr>
        <w:t>％。</w:t>
      </w:r>
    </w:p>
    <w:p w:rsidR="0023264F" w:rsidRPr="00B61A85" w:rsidRDefault="00164256" w:rsidP="00B61A85">
      <w:pPr>
        <w:spacing w:line="400" w:lineRule="exact"/>
        <w:ind w:firstLineChars="200" w:firstLine="482"/>
        <w:jc w:val="left"/>
        <w:outlineLvl w:val="0"/>
        <w:rPr>
          <w:rFonts w:asciiTheme="minorEastAsia" w:hAnsiTheme="minorEastAsia" w:cs="Times New Roman"/>
          <w:b/>
          <w:sz w:val="24"/>
        </w:rPr>
      </w:pPr>
      <w:r w:rsidRPr="00B61A85">
        <w:rPr>
          <w:rFonts w:asciiTheme="minorEastAsia" w:hAnsiTheme="minorEastAsia" w:cs="Times New Roman" w:hint="eastAsia"/>
          <w:b/>
          <w:sz w:val="24"/>
        </w:rPr>
        <w:t>（</w:t>
      </w:r>
      <w:r w:rsidR="00063B0C" w:rsidRPr="00B61A85">
        <w:rPr>
          <w:rFonts w:asciiTheme="minorEastAsia" w:hAnsiTheme="minorEastAsia" w:cs="Times New Roman" w:hint="eastAsia"/>
          <w:b/>
          <w:sz w:val="24"/>
        </w:rPr>
        <w:t>二</w:t>
      </w:r>
      <w:r w:rsidRPr="00B61A85">
        <w:rPr>
          <w:rFonts w:asciiTheme="minorEastAsia" w:hAnsiTheme="minorEastAsia" w:cs="Times New Roman" w:hint="eastAsia"/>
          <w:b/>
          <w:sz w:val="24"/>
        </w:rPr>
        <w:t>）</w:t>
      </w:r>
      <w:r w:rsidR="00063B0C" w:rsidRPr="00B61A85">
        <w:rPr>
          <w:rFonts w:asciiTheme="minorEastAsia" w:hAnsiTheme="minorEastAsia" w:cs="Times New Roman" w:hint="eastAsia"/>
          <w:b/>
          <w:sz w:val="24"/>
        </w:rPr>
        <w:t>微观薪酬激励机制建议</w:t>
      </w:r>
    </w:p>
    <w:p w:rsidR="009910DE" w:rsidRPr="00B61A85" w:rsidRDefault="009910DE" w:rsidP="00B61A85">
      <w:pPr>
        <w:spacing w:line="400" w:lineRule="exact"/>
        <w:ind w:firstLineChars="200" w:firstLine="422"/>
        <w:rPr>
          <w:rFonts w:asciiTheme="minorEastAsia" w:hAnsiTheme="minorEastAsia" w:cs="Times New Roman"/>
          <w:b/>
        </w:rPr>
      </w:pPr>
      <w:r w:rsidRPr="00B61A85">
        <w:rPr>
          <w:rFonts w:asciiTheme="minorEastAsia" w:hAnsiTheme="minorEastAsia" w:cs="Times New Roman"/>
          <w:b/>
        </w:rPr>
        <w:t>1、以职业化为指引，重视薪酬激励</w:t>
      </w:r>
    </w:p>
    <w:p w:rsidR="009910DE" w:rsidRPr="00B61A85" w:rsidRDefault="009910DE"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rPr>
        <w:t>管理大家德鲁克研究了</w:t>
      </w:r>
      <w:r w:rsidRPr="00B61A85">
        <w:rPr>
          <w:rFonts w:asciiTheme="minorEastAsia" w:hAnsiTheme="minorEastAsia" w:cs="Times New Roman" w:hint="eastAsia"/>
        </w:rPr>
        <w:t>社会组织</w:t>
      </w:r>
      <w:r w:rsidRPr="00B61A85">
        <w:rPr>
          <w:rFonts w:asciiTheme="minorEastAsia" w:hAnsiTheme="minorEastAsia" w:cs="Times New Roman"/>
        </w:rPr>
        <w:t>的管理变革</w:t>
      </w:r>
      <w:r w:rsidRPr="00B61A85">
        <w:rPr>
          <w:rFonts w:asciiTheme="minorEastAsia" w:hAnsiTheme="minorEastAsia" w:cs="Times New Roman" w:hint="eastAsia"/>
        </w:rPr>
        <w:t>，认为社会组织不是最初的拒绝管理，而是更加需要管理。管理对于社会组织实践非常重要，社会组织应该积极向企业等盈利组织学习先进的管理经验</w:t>
      </w:r>
      <w:r w:rsidRPr="00B61A85">
        <w:rPr>
          <w:rFonts w:asciiTheme="minorEastAsia" w:hAnsiTheme="minorEastAsia" w:cs="Times New Roman"/>
        </w:rPr>
        <w:t>。而我国社会组织目前还没有充分认识到管理的重要性。大部分社会组织运营管理的基础和前提是良好愿望和心底无私，认为凭借这种“公益心”就可以完全办好事情，还没能足够意识到对运作过程及结果进行复制。由于缺乏现代管理理念和运作模式，可能造成的问题是组织运作效率低下，对资源利用不高并容易产生浪费，以及威胁到组织声誉的腐败丑闻。</w:t>
      </w:r>
    </w:p>
    <w:p w:rsidR="0023264F" w:rsidRPr="00B61A85" w:rsidRDefault="00373EE9"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hint="eastAsia"/>
        </w:rPr>
        <w:t>非营利组织的现代化管理，必须要求</w:t>
      </w:r>
      <w:r w:rsidR="009910DE" w:rsidRPr="00B61A85">
        <w:rPr>
          <w:rFonts w:asciiTheme="minorEastAsia" w:hAnsiTheme="minorEastAsia" w:cs="Times New Roman" w:hint="eastAsia"/>
        </w:rPr>
        <w:t>职业化。职业化</w:t>
      </w:r>
      <w:r w:rsidRPr="00B61A85">
        <w:rPr>
          <w:rFonts w:asciiTheme="minorEastAsia" w:hAnsiTheme="minorEastAsia" w:cs="Times New Roman" w:hint="eastAsia"/>
        </w:rPr>
        <w:t>的路径</w:t>
      </w:r>
      <w:r w:rsidR="009910DE" w:rsidRPr="00B61A85">
        <w:rPr>
          <w:rFonts w:asciiTheme="minorEastAsia" w:hAnsiTheme="minorEastAsia" w:cs="Times New Roman" w:hint="eastAsia"/>
        </w:rPr>
        <w:t>要求社会组织全球搜寻优秀人才，并能够在重视非物质激励的同时，更加关注人才的物质激励，通过有竞争性的薪酬在竞争激烈的劳动力市场上获得优秀人才，最终使社会组织获取人才资源的竞争优势。</w:t>
      </w:r>
    </w:p>
    <w:p w:rsidR="0023264F" w:rsidRPr="00B61A85" w:rsidRDefault="00063B0C" w:rsidP="00B61A85">
      <w:pPr>
        <w:spacing w:line="400" w:lineRule="exact"/>
        <w:ind w:firstLineChars="200" w:firstLine="422"/>
        <w:outlineLvl w:val="0"/>
        <w:rPr>
          <w:rFonts w:asciiTheme="minorEastAsia" w:hAnsiTheme="minorEastAsia" w:cs="Times New Roman"/>
          <w:b/>
        </w:rPr>
      </w:pPr>
      <w:r w:rsidRPr="00B61A85">
        <w:rPr>
          <w:rFonts w:asciiTheme="minorEastAsia" w:hAnsiTheme="minorEastAsia" w:cs="Times New Roman" w:hint="eastAsia"/>
          <w:b/>
        </w:rPr>
        <w:t>2、</w:t>
      </w:r>
      <w:r w:rsidR="0023264F" w:rsidRPr="00B61A85">
        <w:rPr>
          <w:rFonts w:asciiTheme="minorEastAsia" w:hAnsiTheme="minorEastAsia" w:cs="Times New Roman" w:hint="eastAsia"/>
          <w:b/>
        </w:rPr>
        <w:t>重视物质激励，创建科学合理的薪酬体系</w:t>
      </w:r>
    </w:p>
    <w:p w:rsidR="009910DE" w:rsidRPr="00B61A85" w:rsidRDefault="009910DE"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rPr>
        <w:t>（1）参考行业标准，调整薪酬政策</w:t>
      </w:r>
    </w:p>
    <w:p w:rsidR="009910DE" w:rsidRPr="00B61A85" w:rsidRDefault="009910DE"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rPr>
        <w:t>根据社会组织相关法律规定，其薪酬政策主要是参考我国事业单位薪酬制度。但由于我国事业单位薪酬制度本身存在一些不易解决的问题，我国社会组织又是区别于企业和事业单位的特殊组织，因而，建议社会组织薪酬政策制定</w:t>
      </w:r>
      <w:r w:rsidRPr="00B61A85">
        <w:rPr>
          <w:rFonts w:asciiTheme="minorEastAsia" w:hAnsiTheme="minorEastAsia" w:cs="Times New Roman" w:hint="eastAsia"/>
        </w:rPr>
        <w:t>要考虑以下五个因素，即社会组织</w:t>
      </w:r>
      <w:r w:rsidRPr="00B61A85">
        <w:rPr>
          <w:rFonts w:asciiTheme="minorEastAsia" w:hAnsiTheme="minorEastAsia" w:cs="Times New Roman"/>
        </w:rPr>
        <w:t>自身特点、所在行业薪酬水平、</w:t>
      </w:r>
      <w:r w:rsidRPr="00B61A85">
        <w:rPr>
          <w:rFonts w:asciiTheme="minorEastAsia" w:hAnsiTheme="minorEastAsia" w:cs="Times New Roman" w:hint="eastAsia"/>
        </w:rPr>
        <w:t>所属</w:t>
      </w:r>
      <w:r w:rsidRPr="00B61A85">
        <w:rPr>
          <w:rFonts w:asciiTheme="minorEastAsia" w:hAnsiTheme="minorEastAsia" w:cs="Times New Roman"/>
        </w:rPr>
        <w:t>区域</w:t>
      </w:r>
      <w:r w:rsidRPr="00B61A85">
        <w:rPr>
          <w:rFonts w:asciiTheme="minorEastAsia" w:hAnsiTheme="minorEastAsia" w:cs="Times New Roman" w:hint="eastAsia"/>
        </w:rPr>
        <w:t>社会</w:t>
      </w:r>
      <w:r w:rsidRPr="00B61A85">
        <w:rPr>
          <w:rFonts w:asciiTheme="minorEastAsia" w:hAnsiTheme="minorEastAsia" w:cs="Times New Roman"/>
        </w:rPr>
        <w:t>平均工资、内部岗位价值。社会组织薪酬策</w:t>
      </w:r>
      <w:r w:rsidRPr="00B61A85">
        <w:rPr>
          <w:rFonts w:asciiTheme="minorEastAsia" w:hAnsiTheme="minorEastAsia" w:cs="Times New Roman"/>
        </w:rPr>
        <w:lastRenderedPageBreak/>
        <w:t>略</w:t>
      </w:r>
      <w:r w:rsidRPr="00B61A85">
        <w:rPr>
          <w:rFonts w:asciiTheme="minorEastAsia" w:hAnsiTheme="minorEastAsia" w:cs="Times New Roman" w:hint="eastAsia"/>
        </w:rPr>
        <w:t>可</w:t>
      </w:r>
      <w:r w:rsidRPr="00B61A85">
        <w:rPr>
          <w:rFonts w:asciiTheme="minorEastAsia" w:hAnsiTheme="minorEastAsia" w:cs="Times New Roman"/>
        </w:rPr>
        <w:t>采取对行业的“跟随型”策略。</w:t>
      </w:r>
    </w:p>
    <w:p w:rsidR="009910DE" w:rsidRPr="00B61A85" w:rsidRDefault="009910DE"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rPr>
        <w:t>（2）通过工作分析，梳理</w:t>
      </w:r>
      <w:r w:rsidRPr="00B61A85">
        <w:rPr>
          <w:rFonts w:asciiTheme="minorEastAsia" w:hAnsiTheme="minorEastAsia" w:cs="Times New Roman" w:hint="eastAsia"/>
        </w:rPr>
        <w:t>职位</w:t>
      </w:r>
      <w:r w:rsidRPr="00B61A85">
        <w:rPr>
          <w:rFonts w:asciiTheme="minorEastAsia" w:hAnsiTheme="minorEastAsia" w:cs="Times New Roman"/>
        </w:rPr>
        <w:t>说明书，建立</w:t>
      </w:r>
      <w:r w:rsidRPr="00B61A85">
        <w:rPr>
          <w:rFonts w:asciiTheme="minorEastAsia" w:hAnsiTheme="minorEastAsia" w:cs="Times New Roman" w:hint="eastAsia"/>
        </w:rPr>
        <w:t>职位管理体系</w:t>
      </w:r>
    </w:p>
    <w:p w:rsidR="0023264F" w:rsidRDefault="00373EE9"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hint="eastAsia"/>
        </w:rPr>
        <w:t>在社会建设中，由于各方面原因，社会组织没有受到足够重视，</w:t>
      </w:r>
      <w:r w:rsidR="009910DE" w:rsidRPr="00B61A85">
        <w:rPr>
          <w:rFonts w:asciiTheme="minorEastAsia" w:hAnsiTheme="minorEastAsia" w:cs="Times New Roman" w:hint="eastAsia"/>
        </w:rPr>
        <w:t>其管理水平远远低于盈利性组织，部门及岗位职责不清晰是在社会组织人力资源管理中比较突出的问题，因而，社会组织的绩效和薪酬管理就失去了最基础的依据。所以，需要首先调整社会组织组织结构，沥青部门和岗位职责，对岗位进行分类管理，建立职位管理体系。</w:t>
      </w:r>
      <w:r w:rsidR="009910DE" w:rsidRPr="00B61A85">
        <w:rPr>
          <w:rFonts w:asciiTheme="minorEastAsia" w:hAnsiTheme="minorEastAsia" w:cs="Times New Roman"/>
        </w:rPr>
        <w:t>比如，可以将社会组织岗位分为管理系列、技术系列和行政后勤系列（图</w:t>
      </w:r>
      <w:r w:rsidR="009910DE" w:rsidRPr="00B61A85">
        <w:rPr>
          <w:rFonts w:asciiTheme="minorEastAsia" w:hAnsiTheme="minorEastAsia" w:cs="Times New Roman" w:hint="eastAsia"/>
        </w:rPr>
        <w:t>5</w:t>
      </w:r>
      <w:r w:rsidR="009910DE" w:rsidRPr="00B61A85">
        <w:rPr>
          <w:rFonts w:asciiTheme="minorEastAsia" w:hAnsiTheme="minorEastAsia" w:cs="Times New Roman"/>
        </w:rPr>
        <w:t>）。</w:t>
      </w:r>
    </w:p>
    <w:p w:rsidR="00B61A85" w:rsidRPr="00B61A85" w:rsidRDefault="00B61A85" w:rsidP="00B61A85">
      <w:pPr>
        <w:spacing w:line="400" w:lineRule="exact"/>
        <w:ind w:firstLineChars="200" w:firstLine="420"/>
        <w:rPr>
          <w:rFonts w:asciiTheme="minorEastAsia" w:hAnsiTheme="minorEastAsia" w:cs="Times New Roman"/>
        </w:rPr>
      </w:pPr>
    </w:p>
    <w:p w:rsidR="00071A19" w:rsidRDefault="00071A19" w:rsidP="0023264F">
      <w:pPr>
        <w:pStyle w:val="15"/>
        <w:shd w:val="clear" w:color="auto" w:fill="auto"/>
        <w:spacing w:before="0" w:after="0" w:line="400" w:lineRule="exact"/>
        <w:ind w:leftChars="29" w:left="61" w:right="102" w:firstLineChars="200" w:firstLine="480"/>
        <w:rPr>
          <w:rFonts w:ascii="仿宋_GB2312" w:eastAsia="仿宋_GB2312" w:hAnsi="宋体" w:cs="ArialUnicodeMS"/>
          <w:sz w:val="24"/>
          <w:szCs w:val="24"/>
        </w:rPr>
      </w:pPr>
      <w:r>
        <w:rPr>
          <w:rFonts w:ascii="仿宋_GB2312" w:eastAsia="仿宋_GB2312" w:hAnsi="宋体" w:cs="ArialUnicodeMS" w:hint="eastAsia"/>
          <w:noProof/>
          <w:sz w:val="24"/>
          <w:szCs w:val="24"/>
        </w:rPr>
        <w:drawing>
          <wp:anchor distT="0" distB="0" distL="114300" distR="114300" simplePos="0" relativeHeight="251673600" behindDoc="0" locked="0" layoutInCell="1" allowOverlap="1">
            <wp:simplePos x="0" y="0"/>
            <wp:positionH relativeFrom="margin">
              <wp:posOffset>362585</wp:posOffset>
            </wp:positionH>
            <wp:positionV relativeFrom="paragraph">
              <wp:posOffset>100330</wp:posOffset>
            </wp:positionV>
            <wp:extent cx="4345940" cy="2265680"/>
            <wp:effectExtent l="19050" t="0" r="0" b="0"/>
            <wp:wrapNone/>
            <wp:docPr id="15" name="对象 7"/>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449043" cy="3619253"/>
                      <a:chOff x="1194527" y="1828800"/>
                      <a:chExt cx="4449043" cy="3619253"/>
                    </a:xfrm>
                  </a:grpSpPr>
                  <a:sp>
                    <a:nvSpPr>
                      <a:cNvPr id="4" name="Line 3"/>
                      <a:cNvSpPr>
                        <a:spLocks noChangeShapeType="1"/>
                      </a:cNvSpPr>
                    </a:nvSpPr>
                    <a:spPr bwMode="auto">
                      <a:xfrm flipH="1" flipV="1">
                        <a:off x="3357554" y="4857760"/>
                        <a:ext cx="45719" cy="357190"/>
                      </a:xfrm>
                      <a:prstGeom prst="line">
                        <a:avLst/>
                      </a:prstGeom>
                      <a:noFill/>
                      <a:ln w="3175">
                        <a:solidFill>
                          <a:schemeClr val="tx1"/>
                        </a:solidFill>
                        <a:round/>
                        <a:headEnd/>
                        <a:tailEnd/>
                      </a:ln>
                      <a:effectLst/>
                      <a:extLst>
                        <a:ext uri="{909E8E84-426E-40DD-AFC4-6F175D3DCCD1}"/>
                        <a:ext uri="{AF507438-7753-43E0-B8FC-AC1667EBCBE1}"/>
                      </a:extLst>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fontAlgn="auto">
                            <a:spcBef>
                              <a:spcPts val="0"/>
                            </a:spcBef>
                            <a:spcAft>
                              <a:spcPts val="0"/>
                            </a:spcAft>
                            <a:defRPr/>
                          </a:pPr>
                          <a:endParaRPr lang="zh-CN" altLang="en-US" sz="1100" kern="0">
                            <a:solidFill>
                              <a:sysClr val="windowText" lastClr="000000"/>
                            </a:solidFill>
                            <a:latin typeface="宋体" pitchFamily="2" charset="-122"/>
                          </a:endParaRPr>
                        </a:p>
                      </a:txBody>
                      <a:useSpRect/>
                    </a:txSp>
                  </a:sp>
                  <a:sp>
                    <a:nvSpPr>
                      <a:cNvPr id="12" name="Line 11"/>
                      <a:cNvSpPr>
                        <a:spLocks noChangeShapeType="1"/>
                      </a:cNvSpPr>
                    </a:nvSpPr>
                    <a:spPr bwMode="auto">
                      <a:xfrm>
                        <a:off x="2057400" y="4786322"/>
                        <a:ext cx="2371724" cy="45719"/>
                      </a:xfrm>
                      <a:prstGeom prst="line">
                        <a:avLst/>
                      </a:prstGeom>
                      <a:noFill/>
                      <a:ln w="3175">
                        <a:solidFill>
                          <a:schemeClr val="tx1"/>
                        </a:solidFill>
                        <a:round/>
                        <a:headEnd/>
                        <a:tailEnd/>
                      </a:ln>
                      <a:effectLst/>
                      <a:extLst>
                        <a:ext uri="{909E8E84-426E-40DD-AFC4-6F175D3DCCD1}"/>
                        <a:ext uri="{AF507438-7753-43E0-B8FC-AC1667EBCBE1}"/>
                      </a:extLst>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fontAlgn="auto">
                            <a:spcBef>
                              <a:spcPts val="0"/>
                            </a:spcBef>
                            <a:spcAft>
                              <a:spcPts val="0"/>
                            </a:spcAft>
                            <a:defRPr/>
                          </a:pPr>
                          <a:endParaRPr lang="zh-CN" altLang="en-US" sz="1100" kern="0">
                            <a:solidFill>
                              <a:sysClr val="windowText" lastClr="000000"/>
                            </a:solidFill>
                            <a:latin typeface="宋体" pitchFamily="2" charset="-122"/>
                          </a:endParaRPr>
                        </a:p>
                      </a:txBody>
                      <a:useSpRect/>
                    </a:txSp>
                  </a:sp>
                  <a:sp>
                    <a:nvSpPr>
                      <a:cNvPr id="14" name="Line 13"/>
                      <a:cNvSpPr>
                        <a:spLocks noChangeShapeType="1"/>
                      </a:cNvSpPr>
                    </a:nvSpPr>
                    <a:spPr bwMode="auto">
                      <a:xfrm flipV="1">
                        <a:off x="4357686" y="4643446"/>
                        <a:ext cx="45719" cy="157596"/>
                      </a:xfrm>
                      <a:prstGeom prst="line">
                        <a:avLst/>
                      </a:prstGeom>
                      <a:noFill/>
                      <a:ln w="3175">
                        <a:solidFill>
                          <a:schemeClr val="tx1"/>
                        </a:solidFill>
                        <a:round/>
                        <a:headEnd/>
                        <a:tailEnd/>
                      </a:ln>
                      <a:effectLst/>
                      <a:extLst>
                        <a:ext uri="{909E8E84-426E-40DD-AFC4-6F175D3DCCD1}"/>
                        <a:ext uri="{AF507438-7753-43E0-B8FC-AC1667EBCBE1}"/>
                      </a:extLst>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fontAlgn="auto">
                            <a:spcBef>
                              <a:spcPts val="0"/>
                            </a:spcBef>
                            <a:spcAft>
                              <a:spcPts val="0"/>
                            </a:spcAft>
                            <a:defRPr/>
                          </a:pPr>
                          <a:endParaRPr lang="zh-CN" altLang="en-US" sz="1100" kern="0">
                            <a:solidFill>
                              <a:sysClr val="windowText" lastClr="000000"/>
                            </a:solidFill>
                            <a:latin typeface="宋体" pitchFamily="2" charset="-122"/>
                          </a:endParaRPr>
                        </a:p>
                      </a:txBody>
                      <a:useSpRect/>
                    </a:txSp>
                  </a:sp>
                  <a:sp>
                    <a:nvSpPr>
                      <a:cNvPr id="17" name="Line 16"/>
                      <a:cNvSpPr>
                        <a:spLocks noChangeShapeType="1"/>
                      </a:cNvSpPr>
                    </a:nvSpPr>
                    <a:spPr bwMode="auto">
                      <a:xfrm>
                        <a:off x="2071670" y="4572008"/>
                        <a:ext cx="45719" cy="157596"/>
                      </a:xfrm>
                      <a:prstGeom prst="line">
                        <a:avLst/>
                      </a:prstGeom>
                      <a:noFill/>
                      <a:ln w="3175">
                        <a:solidFill>
                          <a:schemeClr val="tx1"/>
                        </a:solidFill>
                        <a:round/>
                        <a:headEnd/>
                        <a:tailEnd/>
                      </a:ln>
                      <a:effectLst/>
                      <a:extLst>
                        <a:ext uri="{909E8E84-426E-40DD-AFC4-6F175D3DCCD1}"/>
                        <a:ext uri="{AF507438-7753-43E0-B8FC-AC1667EBCBE1}"/>
                      </a:extLst>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fontAlgn="auto">
                            <a:spcBef>
                              <a:spcPts val="0"/>
                            </a:spcBef>
                            <a:spcAft>
                              <a:spcPts val="0"/>
                            </a:spcAft>
                            <a:defRPr/>
                          </a:pPr>
                          <a:endParaRPr lang="zh-CN" altLang="en-US" sz="1100" kern="0">
                            <a:solidFill>
                              <a:sysClr val="windowText" lastClr="000000"/>
                            </a:solidFill>
                            <a:latin typeface="宋体" pitchFamily="2" charset="-122"/>
                          </a:endParaRPr>
                        </a:p>
                      </a:txBody>
                      <a:useSpRect/>
                    </a:txSp>
                  </a:sp>
                  <a:sp>
                    <a:nvSpPr>
                      <a:cNvPr id="3" name="Oval 2"/>
                      <a:cNvSpPr>
                        <a:spLocks noChangeArrowheads="1"/>
                      </a:cNvSpPr>
                    </a:nvSpPr>
                    <a:spPr bwMode="auto">
                      <a:xfrm>
                        <a:off x="3071802" y="5000636"/>
                        <a:ext cx="778065" cy="447417"/>
                      </a:xfrm>
                      <a:prstGeom prst="ellipse">
                        <a:avLst/>
                      </a:prstGeom>
                      <a:solidFill>
                        <a:srgbClr val="FFFFD9"/>
                      </a:solidFill>
                      <a:ln>
                        <a:noFill/>
                      </a:ln>
                      <a:effectLst/>
                      <a:extLst>
                        <a:ext uri="{91240B29-F687-4F45-9708-019B960494DF}"/>
                        <a:ext uri="{AF507438-7753-43E0-B8FC-AC1667EBCBE1}"/>
                      </a:extLst>
                    </a:spPr>
                    <a:txSp>
                      <a:txBody>
                        <a:bodyPr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fontAlgn="auto">
                            <a:spcBef>
                              <a:spcPts val="0"/>
                            </a:spcBef>
                            <a:spcAft>
                              <a:spcPts val="0"/>
                            </a:spcAft>
                            <a:defRPr/>
                          </a:pPr>
                          <a:r>
                            <a:rPr kumimoji="1" lang="zh-CN" altLang="en-US" sz="1100" kern="0" dirty="0">
                              <a:solidFill>
                                <a:sysClr val="windowText" lastClr="000000"/>
                              </a:solidFill>
                              <a:latin typeface="宋体" pitchFamily="2" charset="-122"/>
                            </a:rPr>
                            <a:t>新员工</a:t>
                          </a:r>
                        </a:p>
                      </a:txBody>
                      <a:useSpRect/>
                    </a:txSp>
                  </a:sp>
                  <a:sp>
                    <a:nvSpPr>
                      <a:cNvPr id="5" name="Rectangle 4"/>
                      <a:cNvSpPr>
                        <a:spLocks noChangeArrowheads="1"/>
                      </a:cNvSpPr>
                    </a:nvSpPr>
                    <a:spPr bwMode="auto">
                      <a:xfrm>
                        <a:off x="1194527" y="1828800"/>
                        <a:ext cx="2091589" cy="2743208"/>
                      </a:xfrm>
                      <a:prstGeom prst="rect">
                        <a:avLst/>
                      </a:prstGeom>
                      <a:noFill/>
                      <a:ln w="9525" cap="rnd">
                        <a:solidFill>
                          <a:srgbClr val="000000"/>
                        </a:solidFill>
                        <a:prstDash val="sysDot"/>
                        <a:miter lim="800000"/>
                        <a:headEnd/>
                        <a:tailEnd/>
                      </a:ln>
                      <a:effectLst/>
                      <a:extLst>
                        <a:ext uri="{AF507438-7753-43E0-B8FC-AC1667EBCBE1}"/>
                      </a:extLst>
                    </a:spPr>
                    <a:txSp>
                      <a:txBody>
                        <a:bodyPr wrap="none" anchor="b"/>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fontAlgn="auto">
                            <a:spcBef>
                              <a:spcPts val="0"/>
                            </a:spcBef>
                            <a:spcAft>
                              <a:spcPts val="0"/>
                            </a:spcAft>
                            <a:defRPr/>
                          </a:pPr>
                          <a:endParaRPr kumimoji="1" lang="zh-CN" altLang="en-US" sz="1100" kern="0" dirty="0">
                            <a:solidFill>
                              <a:sysClr val="windowText" lastClr="000000"/>
                            </a:solidFill>
                            <a:latin typeface="宋体" pitchFamily="2" charset="-122"/>
                          </a:endParaRPr>
                        </a:p>
                        <a:p>
                          <a:pPr algn="ctr" fontAlgn="auto">
                            <a:spcBef>
                              <a:spcPts val="0"/>
                            </a:spcBef>
                            <a:spcAft>
                              <a:spcPts val="0"/>
                            </a:spcAft>
                            <a:defRPr/>
                          </a:pPr>
                          <a:endParaRPr kumimoji="1" lang="zh-CN" altLang="en-US" sz="1100" kern="0" dirty="0">
                            <a:solidFill>
                              <a:sysClr val="windowText" lastClr="000000"/>
                            </a:solidFill>
                            <a:latin typeface="宋体" pitchFamily="2" charset="-122"/>
                          </a:endParaRPr>
                        </a:p>
                        <a:p>
                          <a:pPr algn="ctr" fontAlgn="auto">
                            <a:spcBef>
                              <a:spcPts val="0"/>
                            </a:spcBef>
                            <a:spcAft>
                              <a:spcPts val="0"/>
                            </a:spcAft>
                            <a:defRPr/>
                          </a:pPr>
                          <a:endParaRPr kumimoji="1" lang="zh-CN" altLang="en-US" sz="1100" kern="0" dirty="0">
                            <a:solidFill>
                              <a:sysClr val="windowText" lastClr="000000"/>
                            </a:solidFill>
                            <a:latin typeface="宋体" pitchFamily="2" charset="-122"/>
                          </a:endParaRPr>
                        </a:p>
                        <a:p>
                          <a:pPr algn="ctr" fontAlgn="auto">
                            <a:spcBef>
                              <a:spcPts val="0"/>
                            </a:spcBef>
                            <a:spcAft>
                              <a:spcPts val="0"/>
                            </a:spcAft>
                            <a:defRPr/>
                          </a:pPr>
                          <a:endParaRPr kumimoji="1" lang="zh-CN" altLang="en-US" sz="1100" kern="0" dirty="0">
                            <a:solidFill>
                              <a:sysClr val="windowText" lastClr="000000"/>
                            </a:solidFill>
                            <a:latin typeface="宋体" pitchFamily="2" charset="-122"/>
                          </a:endParaRPr>
                        </a:p>
                        <a:p>
                          <a:pPr algn="ctr" fontAlgn="auto">
                            <a:spcBef>
                              <a:spcPts val="0"/>
                            </a:spcBef>
                            <a:spcAft>
                              <a:spcPts val="0"/>
                            </a:spcAft>
                            <a:defRPr/>
                          </a:pPr>
                          <a:endParaRPr kumimoji="1" lang="zh-CN" altLang="en-US" sz="1100" kern="0" dirty="0">
                            <a:solidFill>
                              <a:sysClr val="windowText" lastClr="000000"/>
                            </a:solidFill>
                            <a:latin typeface="宋体" pitchFamily="2" charset="-122"/>
                          </a:endParaRPr>
                        </a:p>
                        <a:p>
                          <a:pPr algn="ctr" fontAlgn="auto">
                            <a:spcBef>
                              <a:spcPts val="0"/>
                            </a:spcBef>
                            <a:spcAft>
                              <a:spcPts val="0"/>
                            </a:spcAft>
                            <a:defRPr/>
                          </a:pPr>
                          <a:endParaRPr kumimoji="1" lang="zh-CN" altLang="en-US" sz="1100" kern="0" dirty="0">
                            <a:solidFill>
                              <a:sysClr val="windowText" lastClr="000000"/>
                            </a:solidFill>
                            <a:latin typeface="宋体" pitchFamily="2" charset="-122"/>
                          </a:endParaRPr>
                        </a:p>
                        <a:p>
                          <a:pPr algn="ctr" fontAlgn="auto">
                            <a:spcBef>
                              <a:spcPts val="0"/>
                            </a:spcBef>
                            <a:spcAft>
                              <a:spcPts val="0"/>
                            </a:spcAft>
                            <a:defRPr/>
                          </a:pPr>
                          <a:endParaRPr kumimoji="1" lang="zh-CN" altLang="en-US" sz="1100" kern="0" dirty="0">
                            <a:solidFill>
                              <a:sysClr val="windowText" lastClr="000000"/>
                            </a:solidFill>
                            <a:latin typeface="宋体" pitchFamily="2" charset="-122"/>
                          </a:endParaRPr>
                        </a:p>
                        <a:p>
                          <a:pPr algn="ctr" fontAlgn="auto">
                            <a:spcBef>
                              <a:spcPts val="0"/>
                            </a:spcBef>
                            <a:spcAft>
                              <a:spcPts val="0"/>
                            </a:spcAft>
                            <a:defRPr/>
                          </a:pPr>
                          <a:endParaRPr kumimoji="1" lang="zh-CN" altLang="en-US" sz="1100" kern="0" dirty="0">
                            <a:solidFill>
                              <a:sysClr val="windowText" lastClr="000000"/>
                            </a:solidFill>
                            <a:latin typeface="宋体" pitchFamily="2" charset="-122"/>
                          </a:endParaRPr>
                        </a:p>
                        <a:p>
                          <a:pPr algn="ctr" fontAlgn="auto">
                            <a:spcBef>
                              <a:spcPts val="0"/>
                            </a:spcBef>
                            <a:spcAft>
                              <a:spcPts val="0"/>
                            </a:spcAft>
                            <a:defRPr/>
                          </a:pPr>
                          <a:endParaRPr kumimoji="1" lang="zh-CN" altLang="en-US" sz="1100" kern="0" dirty="0">
                            <a:solidFill>
                              <a:sysClr val="windowText" lastClr="000000"/>
                            </a:solidFill>
                            <a:latin typeface="宋体" pitchFamily="2" charset="-122"/>
                          </a:endParaRPr>
                        </a:p>
                        <a:p>
                          <a:pPr algn="ctr" fontAlgn="auto">
                            <a:spcBef>
                              <a:spcPts val="0"/>
                            </a:spcBef>
                            <a:spcAft>
                              <a:spcPts val="0"/>
                            </a:spcAft>
                            <a:defRPr/>
                          </a:pPr>
                          <a:endParaRPr kumimoji="1" lang="zh-CN" altLang="en-US" sz="1100" kern="0" dirty="0">
                            <a:solidFill>
                              <a:sysClr val="windowText" lastClr="000000"/>
                            </a:solidFill>
                            <a:latin typeface="宋体" pitchFamily="2" charset="-122"/>
                          </a:endParaRPr>
                        </a:p>
                        <a:p>
                          <a:pPr algn="ctr" fontAlgn="auto">
                            <a:spcBef>
                              <a:spcPts val="0"/>
                            </a:spcBef>
                            <a:spcAft>
                              <a:spcPts val="0"/>
                            </a:spcAft>
                            <a:defRPr/>
                          </a:pPr>
                          <a:endParaRPr kumimoji="1" lang="zh-CN" altLang="en-US" sz="1100" kern="0" dirty="0">
                            <a:solidFill>
                              <a:sysClr val="windowText" lastClr="000000"/>
                            </a:solidFill>
                            <a:latin typeface="宋体" pitchFamily="2" charset="-122"/>
                          </a:endParaRPr>
                        </a:p>
                        <a:p>
                          <a:pPr algn="ctr" fontAlgn="auto">
                            <a:spcBef>
                              <a:spcPts val="0"/>
                            </a:spcBef>
                            <a:spcAft>
                              <a:spcPts val="0"/>
                            </a:spcAft>
                            <a:defRPr/>
                          </a:pPr>
                          <a:r>
                            <a:rPr kumimoji="1" lang="zh-CN" altLang="en-US" sz="1100" kern="0" dirty="0">
                              <a:solidFill>
                                <a:sysClr val="windowText" lastClr="000000"/>
                              </a:solidFill>
                              <a:latin typeface="宋体" pitchFamily="2" charset="-122"/>
                            </a:rPr>
                            <a:t>管理通道</a:t>
                          </a:r>
                          <a:endParaRPr kumimoji="1" lang="en-US" altLang="zh-CN" sz="1100" kern="0" dirty="0">
                            <a:solidFill>
                              <a:sysClr val="windowText" lastClr="000000"/>
                            </a:solidFill>
                            <a:latin typeface="宋体" pitchFamily="2" charset="-122"/>
                          </a:endParaRPr>
                        </a:p>
                      </a:txBody>
                      <a:useSpRect/>
                    </a:txSp>
                  </a:sp>
                  <a:sp>
                    <a:nvSpPr>
                      <a:cNvPr id="6" name="AutoShape 5"/>
                      <a:cNvSpPr>
                        <a:spLocks noChangeArrowheads="1"/>
                      </a:cNvSpPr>
                    </a:nvSpPr>
                    <a:spPr bwMode="auto">
                      <a:xfrm>
                        <a:off x="1214414" y="2000240"/>
                        <a:ext cx="210190" cy="2246432"/>
                      </a:xfrm>
                      <a:prstGeom prst="upArrow">
                        <a:avLst>
                          <a:gd name="adj1" fmla="val 50000"/>
                          <a:gd name="adj2" fmla="val 91292"/>
                        </a:avLst>
                      </a:prstGeom>
                      <a:noFill/>
                      <a:ln w="9525">
                        <a:solidFill>
                          <a:srgbClr val="000000"/>
                        </a:solidFill>
                        <a:prstDash val="dashDot"/>
                        <a:miter lim="800000"/>
                        <a:headEnd/>
                        <a:tailEnd/>
                      </a:ln>
                      <a:effectLst/>
                      <a:extLst>
                        <a:ext uri="{AF507438-7753-43E0-B8FC-AC1667EBCBE1}"/>
                      </a:extLst>
                    </a:spPr>
                    <a:txSp>
                      <a:txBody>
                        <a:bodyPr vert="eaVert"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fontAlgn="auto">
                            <a:spcBef>
                              <a:spcPts val="0"/>
                            </a:spcBef>
                            <a:spcAft>
                              <a:spcPts val="0"/>
                            </a:spcAft>
                            <a:defRPr/>
                          </a:pPr>
                          <a:endParaRPr lang="zh-CN" altLang="en-US" sz="1100" kern="0">
                            <a:solidFill>
                              <a:sysClr val="windowText" lastClr="000000"/>
                            </a:solidFill>
                            <a:latin typeface="宋体" pitchFamily="2" charset="-122"/>
                          </a:endParaRPr>
                        </a:p>
                      </a:txBody>
                      <a:useSpRect/>
                    </a:txSp>
                  </a:sp>
                  <a:sp>
                    <a:nvSpPr>
                      <a:cNvPr id="7" name="Rectangle 6"/>
                      <a:cNvSpPr>
                        <a:spLocks noChangeArrowheads="1"/>
                      </a:cNvSpPr>
                    </a:nvSpPr>
                    <a:spPr bwMode="auto">
                      <a:xfrm>
                        <a:off x="1447587" y="3594101"/>
                        <a:ext cx="1632214" cy="275102"/>
                      </a:xfrm>
                      <a:prstGeom prst="rect">
                        <a:avLst/>
                      </a:prstGeom>
                      <a:noFill/>
                      <a:ln w="9525">
                        <a:solidFill>
                          <a:srgbClr val="000000"/>
                        </a:solidFill>
                        <a:miter lim="800000"/>
                        <a:headEnd/>
                        <a:tailEnd/>
                      </a:ln>
                      <a:effectLst/>
                      <a:extLst>
                        <a:ext uri="{AF507438-7753-43E0-B8FC-AC1667EBCBE1}"/>
                      </a:extLst>
                    </a:spPr>
                    <a:txSp>
                      <a:txBody>
                        <a:bodyPr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fontAlgn="auto">
                            <a:spcBef>
                              <a:spcPts val="0"/>
                            </a:spcBef>
                            <a:spcAft>
                              <a:spcPts val="0"/>
                            </a:spcAft>
                            <a:defRPr/>
                          </a:pPr>
                          <a:r>
                            <a:rPr kumimoji="1" lang="zh-CN" altLang="en-US" sz="1100" kern="0" dirty="0" smtClean="0">
                              <a:solidFill>
                                <a:sysClr val="windowText" lastClr="000000"/>
                              </a:solidFill>
                              <a:latin typeface="宋体" pitchFamily="2" charset="-122"/>
                            </a:rPr>
                            <a:t>副主任</a:t>
                          </a:r>
                          <a:endParaRPr kumimoji="1" lang="zh-CN" altLang="en-US" sz="1100" kern="0" dirty="0">
                            <a:solidFill>
                              <a:sysClr val="windowText" lastClr="000000"/>
                            </a:solidFill>
                            <a:latin typeface="宋体" pitchFamily="2" charset="-122"/>
                          </a:endParaRPr>
                        </a:p>
                      </a:txBody>
                      <a:useSpRect/>
                    </a:txSp>
                  </a:sp>
                  <a:sp>
                    <a:nvSpPr>
                      <a:cNvPr id="8" name="Rectangle 7"/>
                      <a:cNvSpPr>
                        <a:spLocks noChangeArrowheads="1"/>
                      </a:cNvSpPr>
                    </a:nvSpPr>
                    <a:spPr bwMode="auto">
                      <a:xfrm>
                        <a:off x="1960194" y="1965326"/>
                        <a:ext cx="611542" cy="275102"/>
                      </a:xfrm>
                      <a:prstGeom prst="rect">
                        <a:avLst/>
                      </a:prstGeom>
                      <a:noFill/>
                      <a:ln w="9525">
                        <a:solidFill>
                          <a:srgbClr val="000000"/>
                        </a:solidFill>
                        <a:miter lim="800000"/>
                        <a:headEnd/>
                        <a:tailEnd/>
                      </a:ln>
                      <a:effectLst/>
                      <a:extLst>
                        <a:ext uri="{AF507438-7753-43E0-B8FC-AC1667EBCBE1}"/>
                      </a:extLst>
                    </a:spPr>
                    <a:txSp>
                      <a:txBody>
                        <a:bodyPr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fontAlgn="auto">
                            <a:spcBef>
                              <a:spcPts val="0"/>
                            </a:spcBef>
                            <a:spcAft>
                              <a:spcPts val="0"/>
                            </a:spcAft>
                            <a:defRPr/>
                          </a:pPr>
                          <a:r>
                            <a:rPr kumimoji="1" lang="zh-CN" altLang="en-US" sz="1100" kern="0" dirty="0">
                              <a:solidFill>
                                <a:sysClr val="windowText" lastClr="000000"/>
                              </a:solidFill>
                              <a:latin typeface="宋体" pitchFamily="2" charset="-122"/>
                            </a:rPr>
                            <a:t>……</a:t>
                          </a:r>
                        </a:p>
                      </a:txBody>
                      <a:useSpRect/>
                    </a:txSp>
                  </a:sp>
                  <a:sp>
                    <a:nvSpPr>
                      <a:cNvPr id="9" name="Rectangle 8"/>
                      <a:cNvSpPr>
                        <a:spLocks noChangeArrowheads="1"/>
                      </a:cNvSpPr>
                    </a:nvSpPr>
                    <a:spPr bwMode="auto">
                      <a:xfrm>
                        <a:off x="1857356" y="2371726"/>
                        <a:ext cx="815389" cy="276484"/>
                      </a:xfrm>
                      <a:prstGeom prst="rect">
                        <a:avLst/>
                      </a:prstGeom>
                      <a:noFill/>
                      <a:ln w="9525">
                        <a:solidFill>
                          <a:srgbClr val="000000"/>
                        </a:solidFill>
                        <a:miter lim="800000"/>
                        <a:headEnd/>
                        <a:tailEnd/>
                      </a:ln>
                      <a:effectLst/>
                      <a:extLst>
                        <a:ext uri="{AF507438-7753-43E0-B8FC-AC1667EBCBE1}"/>
                      </a:extLst>
                    </a:spPr>
                    <a:txSp>
                      <a:txBody>
                        <a:bodyPr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fontAlgn="auto">
                            <a:spcBef>
                              <a:spcPts val="0"/>
                            </a:spcBef>
                            <a:spcAft>
                              <a:spcPts val="0"/>
                            </a:spcAft>
                            <a:defRPr/>
                          </a:pPr>
                          <a:r>
                            <a:rPr kumimoji="1" lang="zh-CN" altLang="en-US" sz="1100" kern="0" dirty="0" smtClean="0">
                              <a:solidFill>
                                <a:sysClr val="windowText" lastClr="000000"/>
                              </a:solidFill>
                              <a:latin typeface="宋体" pitchFamily="2" charset="-122"/>
                            </a:rPr>
                            <a:t>秘书长</a:t>
                          </a:r>
                          <a:endParaRPr kumimoji="1" lang="zh-CN" altLang="en-US" sz="1100" kern="0" dirty="0">
                            <a:solidFill>
                              <a:sysClr val="windowText" lastClr="000000"/>
                            </a:solidFill>
                            <a:latin typeface="宋体" pitchFamily="2" charset="-122"/>
                          </a:endParaRPr>
                        </a:p>
                      </a:txBody>
                      <a:useSpRect/>
                    </a:txSp>
                  </a:sp>
                  <a:sp>
                    <a:nvSpPr>
                      <a:cNvPr id="10" name="Rectangle 9"/>
                      <a:cNvSpPr>
                        <a:spLocks noChangeArrowheads="1"/>
                      </a:cNvSpPr>
                    </a:nvSpPr>
                    <a:spPr bwMode="auto">
                      <a:xfrm>
                        <a:off x="1714480" y="2779713"/>
                        <a:ext cx="1069481" cy="275101"/>
                      </a:xfrm>
                      <a:prstGeom prst="rect">
                        <a:avLst/>
                      </a:prstGeom>
                      <a:noFill/>
                      <a:ln w="9525">
                        <a:solidFill>
                          <a:srgbClr val="000000"/>
                        </a:solidFill>
                        <a:miter lim="800000"/>
                        <a:headEnd/>
                        <a:tailEnd/>
                      </a:ln>
                      <a:effectLst/>
                      <a:extLst>
                        <a:ext uri="{AF507438-7753-43E0-B8FC-AC1667EBCBE1}"/>
                      </a:extLst>
                    </a:spPr>
                    <a:txSp>
                      <a:txBody>
                        <a:bodyPr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fontAlgn="auto">
                            <a:spcBef>
                              <a:spcPts val="0"/>
                            </a:spcBef>
                            <a:spcAft>
                              <a:spcPts val="0"/>
                            </a:spcAft>
                            <a:defRPr/>
                          </a:pPr>
                          <a:r>
                            <a:rPr kumimoji="1" lang="zh-CN" altLang="en-US" sz="1100" kern="0" dirty="0" smtClean="0">
                              <a:solidFill>
                                <a:sysClr val="windowText" lastClr="000000"/>
                              </a:solidFill>
                              <a:latin typeface="宋体" pitchFamily="2" charset="-122"/>
                            </a:rPr>
                            <a:t>副秘书长</a:t>
                          </a:r>
                          <a:endParaRPr kumimoji="1" lang="zh-CN" altLang="en-US" sz="1100" kern="0" dirty="0">
                            <a:solidFill>
                              <a:sysClr val="windowText" lastClr="000000"/>
                            </a:solidFill>
                            <a:latin typeface="宋体" pitchFamily="2" charset="-122"/>
                          </a:endParaRPr>
                        </a:p>
                      </a:txBody>
                      <a:useSpRect/>
                    </a:txSp>
                  </a:sp>
                  <a:sp>
                    <a:nvSpPr>
                      <a:cNvPr id="11" name="Rectangle 10"/>
                      <a:cNvSpPr>
                        <a:spLocks noChangeArrowheads="1"/>
                      </a:cNvSpPr>
                    </a:nvSpPr>
                    <a:spPr bwMode="auto">
                      <a:xfrm>
                        <a:off x="1602482" y="3186114"/>
                        <a:ext cx="1326444" cy="276484"/>
                      </a:xfrm>
                      <a:prstGeom prst="rect">
                        <a:avLst/>
                      </a:prstGeom>
                      <a:noFill/>
                      <a:ln w="9525">
                        <a:solidFill>
                          <a:srgbClr val="000000"/>
                        </a:solidFill>
                        <a:miter lim="800000"/>
                        <a:headEnd/>
                        <a:tailEnd/>
                      </a:ln>
                      <a:effectLst/>
                      <a:extLst>
                        <a:ext uri="{AF507438-7753-43E0-B8FC-AC1667EBCBE1}"/>
                      </a:extLst>
                    </a:spPr>
                    <a:txSp>
                      <a:txBody>
                        <a:bodyPr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fontAlgn="auto">
                            <a:spcBef>
                              <a:spcPts val="0"/>
                            </a:spcBef>
                            <a:spcAft>
                              <a:spcPts val="0"/>
                            </a:spcAft>
                            <a:defRPr/>
                          </a:pPr>
                          <a:r>
                            <a:rPr kumimoji="1" lang="zh-CN" altLang="en-US" sz="1100" kern="0" dirty="0" smtClean="0">
                              <a:solidFill>
                                <a:sysClr val="windowText" lastClr="000000"/>
                              </a:solidFill>
                              <a:latin typeface="宋体" pitchFamily="2" charset="-122"/>
                            </a:rPr>
                            <a:t>主任</a:t>
                          </a:r>
                          <a:endParaRPr kumimoji="1" lang="zh-CN" altLang="en-US" sz="1100" kern="0" dirty="0">
                            <a:solidFill>
                              <a:sysClr val="windowText" lastClr="000000"/>
                            </a:solidFill>
                            <a:latin typeface="宋体" pitchFamily="2" charset="-122"/>
                          </a:endParaRPr>
                        </a:p>
                      </a:txBody>
                      <a:useSpRect/>
                    </a:txSp>
                  </a:sp>
                  <a:sp>
                    <a:nvSpPr>
                      <a:cNvPr id="13" name="Rectangle 12"/>
                      <a:cNvSpPr>
                        <a:spLocks noChangeArrowheads="1"/>
                      </a:cNvSpPr>
                    </a:nvSpPr>
                    <a:spPr bwMode="auto">
                      <a:xfrm>
                        <a:off x="1326937" y="4000501"/>
                        <a:ext cx="1887741" cy="276484"/>
                      </a:xfrm>
                      <a:prstGeom prst="rect">
                        <a:avLst/>
                      </a:prstGeom>
                      <a:noFill/>
                      <a:ln w="9525">
                        <a:solidFill>
                          <a:srgbClr val="000000"/>
                        </a:solidFill>
                        <a:miter lim="800000"/>
                        <a:headEnd/>
                        <a:tailEnd/>
                      </a:ln>
                      <a:effectLst/>
                      <a:extLst>
                        <a:ext uri="{AF507438-7753-43E0-B8FC-AC1667EBCBE1}"/>
                      </a:extLst>
                    </a:spPr>
                    <a:txSp>
                      <a:txBody>
                        <a:bodyPr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fontAlgn="auto">
                            <a:spcBef>
                              <a:spcPts val="0"/>
                            </a:spcBef>
                            <a:spcAft>
                              <a:spcPts val="0"/>
                            </a:spcAft>
                            <a:defRPr/>
                          </a:pPr>
                          <a:r>
                            <a:rPr kumimoji="1" lang="zh-CN" altLang="en-US" sz="1100" kern="0" dirty="0">
                              <a:solidFill>
                                <a:sysClr val="windowText" lastClr="000000"/>
                              </a:solidFill>
                              <a:latin typeface="宋体" pitchFamily="2" charset="-122"/>
                            </a:rPr>
                            <a:t>主管</a:t>
                          </a:r>
                        </a:p>
                      </a:txBody>
                      <a:useSpRect/>
                    </a:txSp>
                  </a:sp>
                  <a:sp>
                    <a:nvSpPr>
                      <a:cNvPr id="15" name="Rectangle 14"/>
                      <a:cNvSpPr>
                        <a:spLocks noChangeArrowheads="1"/>
                      </a:cNvSpPr>
                    </a:nvSpPr>
                    <a:spPr bwMode="auto">
                      <a:xfrm>
                        <a:off x="3529013" y="1828800"/>
                        <a:ext cx="2114557" cy="2743208"/>
                      </a:xfrm>
                      <a:prstGeom prst="rect">
                        <a:avLst/>
                      </a:prstGeom>
                      <a:noFill/>
                      <a:ln w="9525" cap="rnd">
                        <a:solidFill>
                          <a:srgbClr val="000000"/>
                        </a:solidFill>
                        <a:prstDash val="sysDot"/>
                        <a:miter lim="800000"/>
                        <a:headEnd/>
                        <a:tailEnd/>
                      </a:ln>
                      <a:effectLst/>
                      <a:extLst>
                        <a:ext uri="{AF507438-7753-43E0-B8FC-AC1667EBCBE1}"/>
                      </a:extLst>
                    </a:spPr>
                    <a:txSp>
                      <a:txBody>
                        <a:bodyPr wrap="none" anchor="b"/>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fontAlgn="auto">
                            <a:spcBef>
                              <a:spcPts val="0"/>
                            </a:spcBef>
                            <a:spcAft>
                              <a:spcPts val="0"/>
                            </a:spcAft>
                            <a:defRPr/>
                          </a:pPr>
                          <a:endParaRPr kumimoji="1" lang="zh-CN" altLang="en-US" sz="1100" kern="0" dirty="0">
                            <a:solidFill>
                              <a:sysClr val="windowText" lastClr="000000"/>
                            </a:solidFill>
                            <a:latin typeface="宋体" pitchFamily="2" charset="-122"/>
                          </a:endParaRPr>
                        </a:p>
                        <a:p>
                          <a:pPr algn="ctr" fontAlgn="auto">
                            <a:spcBef>
                              <a:spcPts val="0"/>
                            </a:spcBef>
                            <a:spcAft>
                              <a:spcPts val="0"/>
                            </a:spcAft>
                            <a:defRPr/>
                          </a:pPr>
                          <a:endParaRPr kumimoji="1" lang="zh-CN" altLang="en-US" sz="1100" kern="0" dirty="0">
                            <a:solidFill>
                              <a:sysClr val="windowText" lastClr="000000"/>
                            </a:solidFill>
                            <a:latin typeface="宋体" pitchFamily="2" charset="-122"/>
                          </a:endParaRPr>
                        </a:p>
                        <a:p>
                          <a:pPr algn="ctr" fontAlgn="auto">
                            <a:spcBef>
                              <a:spcPts val="0"/>
                            </a:spcBef>
                            <a:spcAft>
                              <a:spcPts val="0"/>
                            </a:spcAft>
                            <a:defRPr/>
                          </a:pPr>
                          <a:endParaRPr kumimoji="1" lang="zh-CN" altLang="en-US" sz="1100" kern="0" dirty="0">
                            <a:solidFill>
                              <a:sysClr val="windowText" lastClr="000000"/>
                            </a:solidFill>
                            <a:latin typeface="宋体" pitchFamily="2" charset="-122"/>
                          </a:endParaRPr>
                        </a:p>
                        <a:p>
                          <a:pPr algn="ctr" fontAlgn="auto">
                            <a:spcBef>
                              <a:spcPts val="0"/>
                            </a:spcBef>
                            <a:spcAft>
                              <a:spcPts val="0"/>
                            </a:spcAft>
                            <a:defRPr/>
                          </a:pPr>
                          <a:endParaRPr kumimoji="1" lang="zh-CN" altLang="en-US" sz="1100" kern="0" dirty="0">
                            <a:solidFill>
                              <a:sysClr val="windowText" lastClr="000000"/>
                            </a:solidFill>
                            <a:latin typeface="宋体" pitchFamily="2" charset="-122"/>
                          </a:endParaRPr>
                        </a:p>
                        <a:p>
                          <a:pPr algn="ctr" fontAlgn="auto">
                            <a:spcBef>
                              <a:spcPts val="0"/>
                            </a:spcBef>
                            <a:spcAft>
                              <a:spcPts val="0"/>
                            </a:spcAft>
                            <a:defRPr/>
                          </a:pPr>
                          <a:endParaRPr kumimoji="1" lang="zh-CN" altLang="en-US" sz="1100" kern="0" dirty="0">
                            <a:solidFill>
                              <a:sysClr val="windowText" lastClr="000000"/>
                            </a:solidFill>
                            <a:latin typeface="宋体" pitchFamily="2" charset="-122"/>
                          </a:endParaRPr>
                        </a:p>
                        <a:p>
                          <a:pPr algn="ctr" fontAlgn="auto">
                            <a:spcBef>
                              <a:spcPts val="0"/>
                            </a:spcBef>
                            <a:spcAft>
                              <a:spcPts val="0"/>
                            </a:spcAft>
                            <a:defRPr/>
                          </a:pPr>
                          <a:endParaRPr kumimoji="1" lang="zh-CN" altLang="en-US" sz="1100" kern="0" dirty="0">
                            <a:solidFill>
                              <a:sysClr val="windowText" lastClr="000000"/>
                            </a:solidFill>
                            <a:latin typeface="宋体" pitchFamily="2" charset="-122"/>
                          </a:endParaRPr>
                        </a:p>
                        <a:p>
                          <a:pPr algn="ctr" fontAlgn="auto">
                            <a:spcBef>
                              <a:spcPts val="0"/>
                            </a:spcBef>
                            <a:spcAft>
                              <a:spcPts val="0"/>
                            </a:spcAft>
                            <a:defRPr/>
                          </a:pPr>
                          <a:endParaRPr kumimoji="1" lang="zh-CN" altLang="en-US" sz="1100" kern="0" dirty="0">
                            <a:solidFill>
                              <a:sysClr val="windowText" lastClr="000000"/>
                            </a:solidFill>
                            <a:latin typeface="宋体" pitchFamily="2" charset="-122"/>
                          </a:endParaRPr>
                        </a:p>
                        <a:p>
                          <a:pPr algn="ctr" fontAlgn="auto">
                            <a:spcBef>
                              <a:spcPts val="0"/>
                            </a:spcBef>
                            <a:spcAft>
                              <a:spcPts val="0"/>
                            </a:spcAft>
                            <a:defRPr/>
                          </a:pPr>
                          <a:endParaRPr kumimoji="1" lang="zh-CN" altLang="en-US" sz="1100" kern="0" dirty="0">
                            <a:solidFill>
                              <a:sysClr val="windowText" lastClr="000000"/>
                            </a:solidFill>
                            <a:latin typeface="宋体" pitchFamily="2" charset="-122"/>
                          </a:endParaRPr>
                        </a:p>
                        <a:p>
                          <a:pPr algn="ctr" fontAlgn="auto">
                            <a:spcBef>
                              <a:spcPts val="0"/>
                            </a:spcBef>
                            <a:spcAft>
                              <a:spcPts val="0"/>
                            </a:spcAft>
                            <a:defRPr/>
                          </a:pPr>
                          <a:endParaRPr kumimoji="1" lang="zh-CN" altLang="en-US" sz="1100" kern="0" dirty="0">
                            <a:solidFill>
                              <a:sysClr val="windowText" lastClr="000000"/>
                            </a:solidFill>
                            <a:latin typeface="宋体" pitchFamily="2" charset="-122"/>
                          </a:endParaRPr>
                        </a:p>
                        <a:p>
                          <a:pPr algn="ctr" fontAlgn="auto">
                            <a:spcBef>
                              <a:spcPts val="0"/>
                            </a:spcBef>
                            <a:spcAft>
                              <a:spcPts val="0"/>
                            </a:spcAft>
                            <a:defRPr/>
                          </a:pPr>
                          <a:endParaRPr kumimoji="1" lang="zh-CN" altLang="en-US" sz="1100" kern="0" dirty="0">
                            <a:solidFill>
                              <a:sysClr val="windowText" lastClr="000000"/>
                            </a:solidFill>
                            <a:latin typeface="宋体" pitchFamily="2" charset="-122"/>
                          </a:endParaRPr>
                        </a:p>
                        <a:p>
                          <a:pPr algn="ctr" fontAlgn="auto">
                            <a:spcBef>
                              <a:spcPts val="0"/>
                            </a:spcBef>
                            <a:spcAft>
                              <a:spcPts val="0"/>
                            </a:spcAft>
                            <a:defRPr/>
                          </a:pPr>
                          <a:endParaRPr kumimoji="1" lang="zh-CN" altLang="en-US" sz="1100" kern="0" dirty="0">
                            <a:solidFill>
                              <a:sysClr val="windowText" lastClr="000000"/>
                            </a:solidFill>
                            <a:latin typeface="宋体" pitchFamily="2" charset="-122"/>
                          </a:endParaRPr>
                        </a:p>
                        <a:p>
                          <a:pPr algn="ctr" fontAlgn="auto">
                            <a:spcBef>
                              <a:spcPts val="0"/>
                            </a:spcBef>
                            <a:spcAft>
                              <a:spcPts val="0"/>
                            </a:spcAft>
                            <a:defRPr/>
                          </a:pPr>
                          <a:r>
                            <a:rPr kumimoji="1" lang="zh-CN" altLang="en-US" sz="1100" kern="0" dirty="0">
                              <a:solidFill>
                                <a:sysClr val="windowText" lastClr="000000"/>
                              </a:solidFill>
                              <a:latin typeface="宋体" pitchFamily="2" charset="-122"/>
                            </a:rPr>
                            <a:t>某专业技术通道</a:t>
                          </a:r>
                        </a:p>
                      </a:txBody>
                      <a:useSpRect/>
                    </a:txSp>
                  </a:sp>
                  <a:sp>
                    <a:nvSpPr>
                      <a:cNvPr id="16" name="AutoShape 15"/>
                      <a:cNvSpPr>
                        <a:spLocks noChangeArrowheads="1"/>
                      </a:cNvSpPr>
                    </a:nvSpPr>
                    <a:spPr bwMode="auto">
                      <a:xfrm>
                        <a:off x="5072066" y="2000240"/>
                        <a:ext cx="247174" cy="2246432"/>
                      </a:xfrm>
                      <a:prstGeom prst="upArrow">
                        <a:avLst>
                          <a:gd name="adj1" fmla="val 50000"/>
                          <a:gd name="adj2" fmla="val 96497"/>
                        </a:avLst>
                      </a:prstGeom>
                      <a:noFill/>
                      <a:ln w="9525">
                        <a:solidFill>
                          <a:srgbClr val="000000"/>
                        </a:solidFill>
                        <a:prstDash val="dashDot"/>
                        <a:miter lim="800000"/>
                        <a:headEnd/>
                        <a:tailEnd/>
                      </a:ln>
                      <a:effectLst/>
                      <a:extLst>
                        <a:ext uri="{AF507438-7753-43E0-B8FC-AC1667EBCBE1}"/>
                      </a:extLst>
                    </a:spPr>
                    <a:txSp>
                      <a:txBody>
                        <a:bodyPr vert="eaVert"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fontAlgn="auto">
                            <a:spcBef>
                              <a:spcPts val="0"/>
                            </a:spcBef>
                            <a:spcAft>
                              <a:spcPts val="0"/>
                            </a:spcAft>
                            <a:defRPr/>
                          </a:pPr>
                          <a:endParaRPr lang="zh-CN" altLang="en-US" sz="1100" kern="0">
                            <a:solidFill>
                              <a:sysClr val="windowText" lastClr="000000"/>
                            </a:solidFill>
                            <a:latin typeface="宋体" pitchFamily="2" charset="-122"/>
                          </a:endParaRPr>
                        </a:p>
                      </a:txBody>
                      <a:useSpRect/>
                    </a:txSp>
                  </a:sp>
                  <a:sp>
                    <a:nvSpPr>
                      <a:cNvPr id="18" name="Rectangle 17"/>
                      <a:cNvSpPr>
                        <a:spLocks noChangeArrowheads="1"/>
                      </a:cNvSpPr>
                    </a:nvSpPr>
                    <a:spPr bwMode="auto">
                      <a:xfrm>
                        <a:off x="3665539" y="3232151"/>
                        <a:ext cx="1811657" cy="275102"/>
                      </a:xfrm>
                      <a:prstGeom prst="rect">
                        <a:avLst/>
                      </a:prstGeom>
                      <a:noFill/>
                      <a:ln w="9525">
                        <a:solidFill>
                          <a:srgbClr val="000000"/>
                        </a:solidFill>
                        <a:miter lim="800000"/>
                        <a:headEnd/>
                        <a:tailEnd/>
                      </a:ln>
                      <a:effectLst/>
                      <a:extLst>
                        <a:ext uri="{AF507438-7753-43E0-B8FC-AC1667EBCBE1}"/>
                      </a:extLst>
                    </a:spPr>
                    <a:txSp>
                      <a:txBody>
                        <a:bodyPr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fontAlgn="auto">
                            <a:spcBef>
                              <a:spcPts val="0"/>
                            </a:spcBef>
                            <a:spcAft>
                              <a:spcPts val="0"/>
                            </a:spcAft>
                            <a:defRPr/>
                          </a:pPr>
                          <a:r>
                            <a:rPr kumimoji="1" lang="zh-CN" altLang="en-US" sz="1100" kern="0">
                              <a:solidFill>
                                <a:sysClr val="windowText" lastClr="000000"/>
                              </a:solidFill>
                              <a:latin typeface="宋体" pitchFamily="2" charset="-122"/>
                            </a:rPr>
                            <a:t>三级技术专家</a:t>
                          </a:r>
                        </a:p>
                      </a:txBody>
                      <a:useSpRect/>
                    </a:txSp>
                  </a:sp>
                  <a:sp>
                    <a:nvSpPr>
                      <a:cNvPr id="19" name="Rectangle 18"/>
                      <a:cNvSpPr>
                        <a:spLocks noChangeArrowheads="1"/>
                      </a:cNvSpPr>
                    </a:nvSpPr>
                    <a:spPr bwMode="auto">
                      <a:xfrm>
                        <a:off x="3665539" y="2009776"/>
                        <a:ext cx="1811657" cy="276484"/>
                      </a:xfrm>
                      <a:prstGeom prst="rect">
                        <a:avLst/>
                      </a:prstGeom>
                      <a:noFill/>
                      <a:ln w="9525">
                        <a:solidFill>
                          <a:srgbClr val="000000"/>
                        </a:solidFill>
                        <a:miter lim="800000"/>
                        <a:headEnd/>
                        <a:tailEnd/>
                      </a:ln>
                      <a:effectLst/>
                      <a:extLst>
                        <a:ext uri="{AF507438-7753-43E0-B8FC-AC1667EBCBE1}"/>
                      </a:extLst>
                    </a:spPr>
                    <a:txSp>
                      <a:txBody>
                        <a:bodyPr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fontAlgn="auto">
                            <a:spcBef>
                              <a:spcPts val="0"/>
                            </a:spcBef>
                            <a:spcAft>
                              <a:spcPts val="0"/>
                            </a:spcAft>
                            <a:defRPr/>
                          </a:pPr>
                          <a:r>
                            <a:rPr kumimoji="1" lang="zh-CN" altLang="en-US" sz="1100" kern="0">
                              <a:solidFill>
                                <a:sysClr val="windowText" lastClr="000000"/>
                              </a:solidFill>
                              <a:latin typeface="宋体" pitchFamily="2" charset="-122"/>
                            </a:rPr>
                            <a:t>资深技术专家</a:t>
                          </a:r>
                        </a:p>
                      </a:txBody>
                      <a:useSpRect/>
                    </a:txSp>
                  </a:sp>
                  <a:sp>
                    <a:nvSpPr>
                      <a:cNvPr id="20" name="Rectangle 19"/>
                      <a:cNvSpPr>
                        <a:spLocks noChangeArrowheads="1"/>
                      </a:cNvSpPr>
                    </a:nvSpPr>
                    <a:spPr bwMode="auto">
                      <a:xfrm>
                        <a:off x="3665539" y="2417763"/>
                        <a:ext cx="1811657" cy="275101"/>
                      </a:xfrm>
                      <a:prstGeom prst="rect">
                        <a:avLst/>
                      </a:prstGeom>
                      <a:noFill/>
                      <a:ln w="9525">
                        <a:solidFill>
                          <a:srgbClr val="000000"/>
                        </a:solidFill>
                        <a:miter lim="800000"/>
                        <a:headEnd/>
                        <a:tailEnd/>
                      </a:ln>
                      <a:effectLst/>
                      <a:extLst>
                        <a:ext uri="{AF507438-7753-43E0-B8FC-AC1667EBCBE1}"/>
                      </a:extLst>
                    </a:spPr>
                    <a:txSp>
                      <a:txBody>
                        <a:bodyPr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fontAlgn="auto">
                            <a:spcBef>
                              <a:spcPts val="0"/>
                            </a:spcBef>
                            <a:spcAft>
                              <a:spcPts val="0"/>
                            </a:spcAft>
                            <a:defRPr/>
                          </a:pPr>
                          <a:r>
                            <a:rPr kumimoji="1" lang="zh-CN" altLang="en-US" sz="1100" kern="0">
                              <a:solidFill>
                                <a:sysClr val="windowText" lastClr="000000"/>
                              </a:solidFill>
                              <a:latin typeface="宋体" pitchFamily="2" charset="-122"/>
                            </a:rPr>
                            <a:t>高级技术专家</a:t>
                          </a:r>
                        </a:p>
                      </a:txBody>
                      <a:useSpRect/>
                    </a:txSp>
                  </a:sp>
                  <a:sp>
                    <a:nvSpPr>
                      <a:cNvPr id="21" name="Rectangle 20"/>
                      <a:cNvSpPr>
                        <a:spLocks noChangeArrowheads="1"/>
                      </a:cNvSpPr>
                    </a:nvSpPr>
                    <a:spPr bwMode="auto">
                      <a:xfrm>
                        <a:off x="3665539" y="2824164"/>
                        <a:ext cx="1811657" cy="276484"/>
                      </a:xfrm>
                      <a:prstGeom prst="rect">
                        <a:avLst/>
                      </a:prstGeom>
                      <a:noFill/>
                      <a:ln w="9525">
                        <a:solidFill>
                          <a:srgbClr val="000000"/>
                        </a:solidFill>
                        <a:miter lim="800000"/>
                        <a:headEnd/>
                        <a:tailEnd/>
                      </a:ln>
                      <a:effectLst/>
                      <a:extLst>
                        <a:ext uri="{AF507438-7753-43E0-B8FC-AC1667EBCBE1}"/>
                      </a:extLst>
                    </a:spPr>
                    <a:txSp>
                      <a:txBody>
                        <a:bodyPr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fontAlgn="auto">
                            <a:spcBef>
                              <a:spcPts val="0"/>
                            </a:spcBef>
                            <a:spcAft>
                              <a:spcPts val="0"/>
                            </a:spcAft>
                            <a:defRPr/>
                          </a:pPr>
                          <a:r>
                            <a:rPr kumimoji="1" lang="zh-CN" altLang="en-US" sz="1100" kern="0">
                              <a:solidFill>
                                <a:sysClr val="windowText" lastClr="000000"/>
                              </a:solidFill>
                              <a:latin typeface="宋体" pitchFamily="2" charset="-122"/>
                            </a:rPr>
                            <a:t>四级技术专家</a:t>
                          </a:r>
                        </a:p>
                      </a:txBody>
                      <a:useSpRect/>
                    </a:txSp>
                  </a:sp>
                  <a:sp>
                    <a:nvSpPr>
                      <a:cNvPr id="22" name="Rectangle 21"/>
                      <a:cNvSpPr>
                        <a:spLocks noChangeArrowheads="1"/>
                      </a:cNvSpPr>
                    </a:nvSpPr>
                    <a:spPr bwMode="auto">
                      <a:xfrm>
                        <a:off x="3665539" y="4046538"/>
                        <a:ext cx="1811657" cy="275101"/>
                      </a:xfrm>
                      <a:prstGeom prst="rect">
                        <a:avLst/>
                      </a:prstGeom>
                      <a:noFill/>
                      <a:ln w="9525">
                        <a:solidFill>
                          <a:srgbClr val="000000"/>
                        </a:solidFill>
                        <a:miter lim="800000"/>
                        <a:headEnd/>
                        <a:tailEnd/>
                      </a:ln>
                      <a:effectLst/>
                      <a:extLst>
                        <a:ext uri="{AF507438-7753-43E0-B8FC-AC1667EBCBE1}"/>
                      </a:extLst>
                    </a:spPr>
                    <a:txSp>
                      <a:txBody>
                        <a:bodyPr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fontAlgn="auto">
                            <a:spcBef>
                              <a:spcPts val="0"/>
                            </a:spcBef>
                            <a:spcAft>
                              <a:spcPts val="0"/>
                            </a:spcAft>
                            <a:defRPr/>
                          </a:pPr>
                          <a:r>
                            <a:rPr kumimoji="1" lang="zh-CN" altLang="en-US" sz="1100" kern="0">
                              <a:solidFill>
                                <a:sysClr val="windowText" lastClr="000000"/>
                              </a:solidFill>
                              <a:latin typeface="宋体" pitchFamily="2" charset="-122"/>
                            </a:rPr>
                            <a:t>一级技术专家</a:t>
                          </a:r>
                        </a:p>
                      </a:txBody>
                      <a:useSpRect/>
                    </a:txSp>
                  </a:sp>
                  <a:sp>
                    <a:nvSpPr>
                      <a:cNvPr id="23" name="Rectangle 22"/>
                      <a:cNvSpPr>
                        <a:spLocks noChangeArrowheads="1"/>
                      </a:cNvSpPr>
                    </a:nvSpPr>
                    <a:spPr bwMode="auto">
                      <a:xfrm>
                        <a:off x="3665539" y="3638551"/>
                        <a:ext cx="1811657" cy="276484"/>
                      </a:xfrm>
                      <a:prstGeom prst="rect">
                        <a:avLst/>
                      </a:prstGeom>
                      <a:noFill/>
                      <a:ln w="9525">
                        <a:solidFill>
                          <a:srgbClr val="000000"/>
                        </a:solidFill>
                        <a:miter lim="800000"/>
                        <a:headEnd/>
                        <a:tailEnd/>
                      </a:ln>
                      <a:effectLst/>
                      <a:extLst>
                        <a:ext uri="{AF507438-7753-43E0-B8FC-AC1667EBCBE1}"/>
                      </a:extLst>
                    </a:spPr>
                    <a:txSp>
                      <a:txBody>
                        <a:bodyPr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fontAlgn="auto">
                            <a:spcBef>
                              <a:spcPts val="0"/>
                            </a:spcBef>
                            <a:spcAft>
                              <a:spcPts val="0"/>
                            </a:spcAft>
                            <a:defRPr/>
                          </a:pPr>
                          <a:r>
                            <a:rPr kumimoji="1" lang="zh-CN" altLang="en-US" sz="1100" kern="0">
                              <a:solidFill>
                                <a:sysClr val="windowText" lastClr="000000"/>
                              </a:solidFill>
                              <a:latin typeface="宋体" pitchFamily="2" charset="-122"/>
                            </a:rPr>
                            <a:t>二级技术专家</a:t>
                          </a:r>
                        </a:p>
                      </a:txBody>
                      <a:useSpRect/>
                    </a:txSp>
                  </a:sp>
                  <a:grpSp>
                    <a:nvGrpSpPr>
                      <a:cNvPr id="30" name="Group 30"/>
                      <a:cNvGrpSpPr>
                        <a:grpSpLocks/>
                      </a:cNvGrpSpPr>
                    </a:nvGrpSpPr>
                    <a:grpSpPr bwMode="auto">
                      <a:xfrm>
                        <a:off x="2667001" y="2057401"/>
                        <a:ext cx="890038" cy="1791616"/>
                        <a:chOff x="1632" y="672"/>
                        <a:chExt cx="1056" cy="2208"/>
                      </a:xfrm>
                      <a:noFill/>
                    </a:grpSpPr>
                    <a:sp>
                      <a:nvSpPr>
                        <a:cNvPr id="31" name="Line 31"/>
                        <a:cNvSpPr>
                          <a:spLocks noChangeShapeType="1"/>
                        </a:cNvSpPr>
                      </a:nvSpPr>
                      <a:spPr bwMode="auto">
                        <a:xfrm flipH="1">
                          <a:off x="2208" y="2880"/>
                          <a:ext cx="480" cy="0"/>
                        </a:xfrm>
                        <a:prstGeom prst="line">
                          <a:avLst/>
                        </a:prstGeom>
                        <a:grpFill/>
                        <a:ln w="3175">
                          <a:solidFill>
                            <a:schemeClr val="tx1"/>
                          </a:solidFill>
                          <a:round/>
                          <a:headEnd/>
                          <a:tailEnd type="triangle" w="med" len="med"/>
                        </a:ln>
                        <a:effectLst/>
                        <a:extLst>
                          <a:ext uri="{909E8E84-426E-40DD-AFC4-6F175D3DCCD1}"/>
                          <a:ext uri="{AF507438-7753-43E0-B8FC-AC1667EBCBE1}"/>
                        </a:extLst>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fontAlgn="auto">
                              <a:spcBef>
                                <a:spcPts val="0"/>
                              </a:spcBef>
                              <a:spcAft>
                                <a:spcPts val="0"/>
                              </a:spcAft>
                              <a:defRPr/>
                            </a:pPr>
                            <a:endParaRPr lang="zh-CN" altLang="en-US" sz="1100" kern="0">
                              <a:solidFill>
                                <a:sysClr val="windowText" lastClr="000000"/>
                              </a:solidFill>
                              <a:latin typeface="宋体" pitchFamily="2" charset="-122"/>
                            </a:endParaRPr>
                          </a:p>
                        </a:txBody>
                        <a:useSpRect/>
                      </a:txSp>
                    </a:sp>
                    <a:sp>
                      <a:nvSpPr>
                        <a:cNvPr id="32" name="Line 32"/>
                        <a:cNvSpPr>
                          <a:spLocks noChangeShapeType="1"/>
                        </a:cNvSpPr>
                      </a:nvSpPr>
                      <a:spPr bwMode="auto">
                        <a:xfrm flipH="1">
                          <a:off x="2112" y="2447"/>
                          <a:ext cx="576" cy="0"/>
                        </a:xfrm>
                        <a:prstGeom prst="line">
                          <a:avLst/>
                        </a:prstGeom>
                        <a:grpFill/>
                        <a:ln w="3175">
                          <a:solidFill>
                            <a:schemeClr val="tx1"/>
                          </a:solidFill>
                          <a:round/>
                          <a:headEnd/>
                          <a:tailEnd type="triangle" w="med" len="med"/>
                        </a:ln>
                        <a:effectLst/>
                        <a:extLst>
                          <a:ext uri="{909E8E84-426E-40DD-AFC4-6F175D3DCCD1}"/>
                          <a:ext uri="{AF507438-7753-43E0-B8FC-AC1667EBCBE1}"/>
                        </a:extLst>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fontAlgn="auto">
                              <a:spcBef>
                                <a:spcPts val="0"/>
                              </a:spcBef>
                              <a:spcAft>
                                <a:spcPts val="0"/>
                              </a:spcAft>
                              <a:defRPr/>
                            </a:pPr>
                            <a:endParaRPr lang="zh-CN" altLang="en-US" sz="1100" kern="0">
                              <a:solidFill>
                                <a:sysClr val="windowText" lastClr="000000"/>
                              </a:solidFill>
                              <a:latin typeface="宋体" pitchFamily="2" charset="-122"/>
                            </a:endParaRPr>
                          </a:p>
                        </a:txBody>
                        <a:useSpRect/>
                      </a:txSp>
                    </a:sp>
                    <a:sp>
                      <a:nvSpPr>
                        <a:cNvPr id="33" name="Line 33"/>
                        <a:cNvSpPr>
                          <a:spLocks noChangeShapeType="1"/>
                        </a:cNvSpPr>
                      </a:nvSpPr>
                      <a:spPr bwMode="auto">
                        <a:xfrm flipH="1" flipV="1">
                          <a:off x="1968" y="2016"/>
                          <a:ext cx="673" cy="431"/>
                        </a:xfrm>
                        <a:prstGeom prst="line">
                          <a:avLst/>
                        </a:prstGeom>
                        <a:grpFill/>
                        <a:ln w="3175">
                          <a:solidFill>
                            <a:schemeClr val="tx1"/>
                          </a:solidFill>
                          <a:round/>
                          <a:headEnd/>
                          <a:tailEnd type="triangle" w="med" len="med"/>
                        </a:ln>
                        <a:effectLst/>
                        <a:extLst>
                          <a:ext uri="{909E8E84-426E-40DD-AFC4-6F175D3DCCD1}"/>
                          <a:ext uri="{AF507438-7753-43E0-B8FC-AC1667EBCBE1}"/>
                        </a:extLst>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fontAlgn="auto">
                              <a:spcBef>
                                <a:spcPts val="0"/>
                              </a:spcBef>
                              <a:spcAft>
                                <a:spcPts val="0"/>
                              </a:spcAft>
                              <a:defRPr/>
                            </a:pPr>
                            <a:endParaRPr lang="zh-CN" altLang="en-US" sz="1100" kern="0">
                              <a:solidFill>
                                <a:sysClr val="windowText" lastClr="000000"/>
                              </a:solidFill>
                              <a:latin typeface="宋体" pitchFamily="2" charset="-122"/>
                            </a:endParaRPr>
                          </a:p>
                        </a:txBody>
                        <a:useSpRect/>
                      </a:txSp>
                    </a:sp>
                    <a:sp>
                      <a:nvSpPr>
                        <a:cNvPr id="34" name="Line 34"/>
                        <a:cNvSpPr>
                          <a:spLocks noChangeShapeType="1"/>
                        </a:cNvSpPr>
                      </a:nvSpPr>
                      <a:spPr bwMode="auto">
                        <a:xfrm flipH="1" flipV="1">
                          <a:off x="1872" y="1536"/>
                          <a:ext cx="816" cy="480"/>
                        </a:xfrm>
                        <a:prstGeom prst="line">
                          <a:avLst/>
                        </a:prstGeom>
                        <a:grpFill/>
                        <a:ln w="3175">
                          <a:solidFill>
                            <a:schemeClr val="tx1"/>
                          </a:solidFill>
                          <a:round/>
                          <a:headEnd/>
                          <a:tailEnd type="triangle" w="med" len="med"/>
                        </a:ln>
                        <a:effectLst/>
                        <a:extLst>
                          <a:ext uri="{909E8E84-426E-40DD-AFC4-6F175D3DCCD1}"/>
                          <a:ext uri="{AF507438-7753-43E0-B8FC-AC1667EBCBE1}"/>
                        </a:extLst>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fontAlgn="auto">
                              <a:spcBef>
                                <a:spcPts val="0"/>
                              </a:spcBef>
                              <a:spcAft>
                                <a:spcPts val="0"/>
                              </a:spcAft>
                              <a:defRPr/>
                            </a:pPr>
                            <a:endParaRPr lang="zh-CN" altLang="en-US" sz="1100" kern="0">
                              <a:solidFill>
                                <a:sysClr val="windowText" lastClr="000000"/>
                              </a:solidFill>
                              <a:latin typeface="宋体" pitchFamily="2" charset="-122"/>
                            </a:endParaRPr>
                          </a:p>
                        </a:txBody>
                        <a:useSpRect/>
                      </a:txSp>
                    </a:sp>
                    <a:sp>
                      <a:nvSpPr>
                        <a:cNvPr id="35" name="Line 35"/>
                        <a:cNvSpPr>
                          <a:spLocks noChangeShapeType="1"/>
                        </a:cNvSpPr>
                      </a:nvSpPr>
                      <a:spPr bwMode="auto">
                        <a:xfrm flipH="1" flipV="1">
                          <a:off x="1727" y="1105"/>
                          <a:ext cx="961" cy="526"/>
                        </a:xfrm>
                        <a:prstGeom prst="line">
                          <a:avLst/>
                        </a:prstGeom>
                        <a:grpFill/>
                        <a:ln w="3175">
                          <a:solidFill>
                            <a:schemeClr val="tx1"/>
                          </a:solidFill>
                          <a:round/>
                          <a:headEnd/>
                          <a:tailEnd type="triangle" w="med" len="med"/>
                        </a:ln>
                        <a:effectLst/>
                        <a:extLst>
                          <a:ext uri="{909E8E84-426E-40DD-AFC4-6F175D3DCCD1}"/>
                          <a:ext uri="{AF507438-7753-43E0-B8FC-AC1667EBCBE1}"/>
                        </a:extLst>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fontAlgn="auto">
                              <a:spcBef>
                                <a:spcPts val="0"/>
                              </a:spcBef>
                              <a:spcAft>
                                <a:spcPts val="0"/>
                              </a:spcAft>
                              <a:defRPr/>
                            </a:pPr>
                            <a:endParaRPr lang="zh-CN" altLang="en-US" sz="1100" kern="0">
                              <a:solidFill>
                                <a:sysClr val="windowText" lastClr="000000"/>
                              </a:solidFill>
                              <a:latin typeface="宋体" pitchFamily="2" charset="-122"/>
                            </a:endParaRPr>
                          </a:p>
                        </a:txBody>
                        <a:useSpRect/>
                      </a:txSp>
                    </a:sp>
                    <a:sp>
                      <a:nvSpPr>
                        <a:cNvPr id="36" name="Line 36"/>
                        <a:cNvSpPr>
                          <a:spLocks noChangeShapeType="1"/>
                        </a:cNvSpPr>
                      </a:nvSpPr>
                      <a:spPr bwMode="auto">
                        <a:xfrm flipH="1" flipV="1">
                          <a:off x="1632" y="672"/>
                          <a:ext cx="1056" cy="480"/>
                        </a:xfrm>
                        <a:prstGeom prst="line">
                          <a:avLst/>
                        </a:prstGeom>
                        <a:grpFill/>
                        <a:ln w="3175">
                          <a:solidFill>
                            <a:schemeClr val="tx1"/>
                          </a:solidFill>
                          <a:round/>
                          <a:headEnd/>
                          <a:tailEnd type="triangle" w="med" len="med"/>
                        </a:ln>
                        <a:effectLst/>
                        <a:extLst>
                          <a:ext uri="{909E8E84-426E-40DD-AFC4-6F175D3DCCD1}"/>
                          <a:ext uri="{AF507438-7753-43E0-B8FC-AC1667EBCBE1}"/>
                        </a:extLst>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fontAlgn="auto">
                              <a:spcBef>
                                <a:spcPts val="0"/>
                              </a:spcBef>
                              <a:spcAft>
                                <a:spcPts val="0"/>
                              </a:spcAft>
                              <a:defRPr/>
                            </a:pPr>
                            <a:endParaRPr lang="zh-CN" altLang="en-US" sz="1100" kern="0">
                              <a:solidFill>
                                <a:sysClr val="windowText" lastClr="000000"/>
                              </a:solidFill>
                              <a:latin typeface="宋体" pitchFamily="2" charset="-122"/>
                            </a:endParaRPr>
                          </a:p>
                        </a:txBody>
                        <a:useSpRect/>
                      </a:txSp>
                    </a:sp>
                  </a:grpSp>
                </lc:lockedCanvas>
              </a:graphicData>
            </a:graphic>
          </wp:anchor>
        </w:drawing>
      </w:r>
    </w:p>
    <w:p w:rsidR="00071A19" w:rsidRDefault="00071A19" w:rsidP="0023264F">
      <w:pPr>
        <w:pStyle w:val="15"/>
        <w:shd w:val="clear" w:color="auto" w:fill="auto"/>
        <w:spacing w:before="0" w:after="0" w:line="400" w:lineRule="exact"/>
        <w:ind w:leftChars="29" w:left="61" w:right="102" w:firstLineChars="200" w:firstLine="480"/>
        <w:rPr>
          <w:rFonts w:ascii="仿宋_GB2312" w:eastAsia="仿宋_GB2312" w:hAnsi="宋体" w:cs="ArialUnicodeMS"/>
          <w:sz w:val="24"/>
          <w:szCs w:val="24"/>
        </w:rPr>
      </w:pPr>
    </w:p>
    <w:p w:rsidR="00071A19" w:rsidRDefault="00071A19" w:rsidP="0023264F">
      <w:pPr>
        <w:pStyle w:val="15"/>
        <w:shd w:val="clear" w:color="auto" w:fill="auto"/>
        <w:spacing w:before="0" w:after="0" w:line="400" w:lineRule="exact"/>
        <w:ind w:leftChars="29" w:left="61" w:right="102" w:firstLineChars="200" w:firstLine="480"/>
        <w:rPr>
          <w:rFonts w:ascii="仿宋_GB2312" w:eastAsia="仿宋_GB2312" w:hAnsi="宋体" w:cs="ArialUnicodeMS"/>
          <w:sz w:val="24"/>
          <w:szCs w:val="24"/>
        </w:rPr>
      </w:pPr>
    </w:p>
    <w:p w:rsidR="004172BB" w:rsidRDefault="004172BB" w:rsidP="0023264F">
      <w:pPr>
        <w:pStyle w:val="15"/>
        <w:shd w:val="clear" w:color="auto" w:fill="auto"/>
        <w:spacing w:before="0" w:after="0" w:line="400" w:lineRule="exact"/>
        <w:ind w:leftChars="29" w:left="61" w:right="102" w:firstLineChars="200" w:firstLine="480"/>
        <w:rPr>
          <w:rFonts w:ascii="仿宋_GB2312" w:eastAsia="仿宋_GB2312" w:hAnsi="宋体" w:cs="ArialUnicodeMS"/>
          <w:sz w:val="24"/>
          <w:szCs w:val="24"/>
        </w:rPr>
      </w:pPr>
    </w:p>
    <w:p w:rsidR="004172BB" w:rsidRDefault="004172BB" w:rsidP="0023264F">
      <w:pPr>
        <w:pStyle w:val="15"/>
        <w:shd w:val="clear" w:color="auto" w:fill="auto"/>
        <w:spacing w:before="0" w:after="0" w:line="400" w:lineRule="exact"/>
        <w:ind w:leftChars="29" w:left="61" w:right="102" w:firstLineChars="200" w:firstLine="480"/>
        <w:rPr>
          <w:rFonts w:ascii="仿宋_GB2312" w:eastAsia="仿宋_GB2312" w:hAnsi="宋体" w:cs="ArialUnicodeMS"/>
          <w:sz w:val="24"/>
          <w:szCs w:val="24"/>
        </w:rPr>
      </w:pPr>
    </w:p>
    <w:p w:rsidR="004172BB" w:rsidRDefault="004172BB" w:rsidP="0023264F">
      <w:pPr>
        <w:pStyle w:val="15"/>
        <w:shd w:val="clear" w:color="auto" w:fill="auto"/>
        <w:spacing w:before="0" w:after="0" w:line="400" w:lineRule="exact"/>
        <w:ind w:leftChars="29" w:left="61" w:right="102" w:firstLineChars="200" w:firstLine="480"/>
        <w:rPr>
          <w:rFonts w:ascii="仿宋_GB2312" w:eastAsia="仿宋_GB2312" w:hAnsi="宋体" w:cs="ArialUnicodeMS"/>
          <w:sz w:val="24"/>
          <w:szCs w:val="24"/>
        </w:rPr>
      </w:pPr>
    </w:p>
    <w:p w:rsidR="004172BB" w:rsidRDefault="004172BB" w:rsidP="0023264F">
      <w:pPr>
        <w:pStyle w:val="15"/>
        <w:shd w:val="clear" w:color="auto" w:fill="auto"/>
        <w:spacing w:before="0" w:after="0" w:line="400" w:lineRule="exact"/>
        <w:ind w:leftChars="29" w:left="61" w:right="102" w:firstLineChars="200" w:firstLine="480"/>
        <w:rPr>
          <w:rFonts w:ascii="仿宋_GB2312" w:eastAsia="仿宋_GB2312" w:hAnsi="宋体" w:cs="ArialUnicodeMS"/>
          <w:sz w:val="24"/>
          <w:szCs w:val="24"/>
        </w:rPr>
      </w:pPr>
    </w:p>
    <w:p w:rsidR="00D15AA7" w:rsidRDefault="00D15AA7" w:rsidP="0023264F">
      <w:pPr>
        <w:pStyle w:val="15"/>
        <w:shd w:val="clear" w:color="auto" w:fill="auto"/>
        <w:spacing w:before="0" w:after="0" w:line="400" w:lineRule="exact"/>
        <w:ind w:leftChars="29" w:left="61" w:right="102" w:firstLineChars="200" w:firstLine="480"/>
        <w:rPr>
          <w:rFonts w:ascii="仿宋_GB2312" w:eastAsia="仿宋_GB2312" w:hAnsi="宋体" w:cs="ArialUnicodeMS"/>
          <w:sz w:val="24"/>
          <w:szCs w:val="24"/>
        </w:rPr>
      </w:pPr>
    </w:p>
    <w:p w:rsidR="00D15AA7" w:rsidRPr="00C1473D" w:rsidRDefault="00D15AA7" w:rsidP="0023264F">
      <w:pPr>
        <w:pStyle w:val="15"/>
        <w:shd w:val="clear" w:color="auto" w:fill="auto"/>
        <w:spacing w:before="0" w:after="0" w:line="400" w:lineRule="exact"/>
        <w:ind w:leftChars="29" w:left="61" w:right="102" w:firstLineChars="200" w:firstLine="480"/>
        <w:rPr>
          <w:rFonts w:ascii="仿宋_GB2312" w:eastAsia="仿宋_GB2312" w:hAnsi="宋体" w:cs="ArialUnicodeMS"/>
          <w:sz w:val="24"/>
          <w:szCs w:val="24"/>
        </w:rPr>
      </w:pPr>
    </w:p>
    <w:p w:rsidR="0023264F" w:rsidRPr="00071A19" w:rsidRDefault="0023264F" w:rsidP="00071A19">
      <w:pPr>
        <w:pStyle w:val="15"/>
        <w:shd w:val="clear" w:color="auto" w:fill="auto"/>
        <w:spacing w:before="0" w:after="0" w:line="400" w:lineRule="exact"/>
        <w:ind w:right="100" w:firstLine="0"/>
        <w:jc w:val="center"/>
        <w:rPr>
          <w:rFonts w:asciiTheme="minorEastAsia" w:hAnsiTheme="minorEastAsia" w:cs="ArialUnicodeMS"/>
          <w:szCs w:val="21"/>
        </w:rPr>
      </w:pPr>
      <w:r w:rsidRPr="00071A19">
        <w:rPr>
          <w:rFonts w:asciiTheme="minorEastAsia" w:hAnsiTheme="minorEastAsia" w:cs="ArialUnicodeMS" w:hint="eastAsia"/>
          <w:szCs w:val="21"/>
        </w:rPr>
        <w:t>图</w:t>
      </w:r>
      <w:r w:rsidR="009910DE">
        <w:rPr>
          <w:rFonts w:asciiTheme="minorEastAsia" w:hAnsiTheme="minorEastAsia" w:cs="ArialUnicodeMS" w:hint="eastAsia"/>
          <w:szCs w:val="21"/>
        </w:rPr>
        <w:t>5</w:t>
      </w:r>
      <w:r w:rsidRPr="00071A19">
        <w:rPr>
          <w:rFonts w:asciiTheme="minorEastAsia" w:hAnsiTheme="minorEastAsia" w:cs="ArialUnicodeMS" w:hint="eastAsia"/>
          <w:szCs w:val="21"/>
        </w:rPr>
        <w:t xml:space="preserve"> 社会组织职位管理及任职资格管理</w:t>
      </w:r>
    </w:p>
    <w:bookmarkEnd w:id="0"/>
    <w:p w:rsidR="009910DE" w:rsidRPr="00B61A85" w:rsidRDefault="009910DE"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rPr>
        <w:t>（3）</w:t>
      </w:r>
      <w:r w:rsidR="00F664C5" w:rsidRPr="00B61A85">
        <w:rPr>
          <w:rFonts w:asciiTheme="minorEastAsia" w:hAnsiTheme="minorEastAsia" w:cs="Times New Roman" w:hint="eastAsia"/>
        </w:rPr>
        <w:t>岗位评估确定岗位价值，绩效管理确定贡献大小，以</w:t>
      </w:r>
      <w:r w:rsidRPr="00B61A85">
        <w:rPr>
          <w:rFonts w:asciiTheme="minorEastAsia" w:hAnsiTheme="minorEastAsia" w:cs="Times New Roman" w:hint="eastAsia"/>
        </w:rPr>
        <w:t>体现薪酬内部公平性</w:t>
      </w:r>
    </w:p>
    <w:p w:rsidR="009910DE" w:rsidRPr="00B61A85" w:rsidRDefault="009910DE"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rPr>
        <w:t>建立一个公正且具有竞争力的报酬体系必须解决两个核心问题：首先，社会组织评判报酬体系质量的标准是什么；其次，社会组织以什么为标准来计算员工报酬。</w:t>
      </w:r>
      <w:r w:rsidRPr="00B61A85">
        <w:rPr>
          <w:rFonts w:asciiTheme="minorEastAsia" w:hAnsiTheme="minorEastAsia" w:cs="Times New Roman" w:hint="eastAsia"/>
        </w:rPr>
        <w:t>组织内岗位价值直接影响薪酬内部公平性，岗位评估是确定岗位价值的重要方法，通过岗位评估，评判岗位相对价值，作为确定基本薪酬或岗位薪酬水平的依据；同时，</w:t>
      </w:r>
      <w:r w:rsidRPr="00B61A85">
        <w:rPr>
          <w:rFonts w:asciiTheme="minorEastAsia" w:hAnsiTheme="minorEastAsia" w:cs="Times New Roman"/>
        </w:rPr>
        <w:t>社会组织需要重视绩效管理</w:t>
      </w:r>
      <w:r w:rsidRPr="00B61A85">
        <w:rPr>
          <w:rFonts w:asciiTheme="minorEastAsia" w:hAnsiTheme="minorEastAsia" w:cs="Times New Roman" w:hint="eastAsia"/>
        </w:rPr>
        <w:t>，员工干多干少、干好干坏必须有一个客观的评价标准，因而，建立以绩效为导向的薪酬体系，</w:t>
      </w:r>
      <w:r w:rsidR="00F664C5" w:rsidRPr="00B61A85">
        <w:rPr>
          <w:rFonts w:asciiTheme="minorEastAsia" w:hAnsiTheme="minorEastAsia" w:cs="Times New Roman" w:hint="eastAsia"/>
        </w:rPr>
        <w:t>必然要求通过以绩效考核结果与薪酬水平直接挂钩，由此引导员工努力方向与组织战略保持高度一致。</w:t>
      </w:r>
      <w:r w:rsidRPr="00B61A85">
        <w:rPr>
          <w:rFonts w:asciiTheme="minorEastAsia" w:hAnsiTheme="minorEastAsia" w:cs="Times New Roman" w:hint="eastAsia"/>
        </w:rPr>
        <w:t>需要特别提出的是，</w:t>
      </w:r>
      <w:r w:rsidRPr="00B61A85">
        <w:rPr>
          <w:rFonts w:asciiTheme="minorEastAsia" w:hAnsiTheme="minorEastAsia" w:cs="Times New Roman"/>
        </w:rPr>
        <w:t>在薪酬结构中增设个人特殊贡献奖，对于在社会组织中发挥了特别关键的作用，做了特别大的贡献的个人给与单独奖励，这既体现了对个人价值的尊重，又是一种文化导向和正能量的渲染。</w:t>
      </w:r>
    </w:p>
    <w:p w:rsidR="009910DE" w:rsidRPr="00B61A85" w:rsidRDefault="009910DE"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rPr>
        <w:t>（</w:t>
      </w:r>
      <w:r w:rsidRPr="00B61A85">
        <w:rPr>
          <w:rFonts w:asciiTheme="minorEastAsia" w:hAnsiTheme="minorEastAsia" w:cs="Times New Roman" w:hint="eastAsia"/>
        </w:rPr>
        <w:t>4</w:t>
      </w:r>
      <w:r w:rsidRPr="00B61A85">
        <w:rPr>
          <w:rFonts w:asciiTheme="minorEastAsia" w:hAnsiTheme="minorEastAsia" w:cs="Times New Roman"/>
        </w:rPr>
        <w:t>）参考行业标准，确保薪酬外部竞争性</w:t>
      </w:r>
    </w:p>
    <w:p w:rsidR="00A25AB6" w:rsidRPr="00B61A85" w:rsidRDefault="009910DE"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rPr>
        <w:t>薪酬的内部一致性或公平性及外部竞争性是进行薪酬设计的重要原则。</w:t>
      </w:r>
      <w:r w:rsidR="00A25AB6" w:rsidRPr="00B61A85">
        <w:rPr>
          <w:rFonts w:asciiTheme="minorEastAsia" w:hAnsiTheme="minorEastAsia" w:cs="Times New Roman" w:hint="eastAsia"/>
        </w:rPr>
        <w:t>在竞争激励的外部劳动力市场上，社会组织要赢得竞争优势，必须要重视薪酬的外部竞争性，以确保社会组织能够有效吸引优秀人才，并能够在优秀人才保留和激励中获得优势。</w:t>
      </w:r>
    </w:p>
    <w:p w:rsidR="009910DE" w:rsidRPr="00B61A85" w:rsidRDefault="009910DE"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rPr>
        <w:t>薪酬外部竞争性强调的是薪酬</w:t>
      </w:r>
      <w:r w:rsidRPr="00B61A85">
        <w:rPr>
          <w:rFonts w:asciiTheme="minorEastAsia" w:hAnsiTheme="minorEastAsia" w:cs="Times New Roman" w:hint="eastAsia"/>
        </w:rPr>
        <w:t>水平</w:t>
      </w:r>
      <w:r w:rsidRPr="00B61A85">
        <w:rPr>
          <w:rFonts w:asciiTheme="minorEastAsia" w:hAnsiTheme="minorEastAsia" w:cs="Times New Roman"/>
        </w:rPr>
        <w:t>与社会组织同所在行业及同类其他社会组织薪酬水平</w:t>
      </w:r>
      <w:r w:rsidRPr="00B61A85">
        <w:rPr>
          <w:rFonts w:asciiTheme="minorEastAsia" w:hAnsiTheme="minorEastAsia" w:cs="Times New Roman" w:hint="eastAsia"/>
        </w:rPr>
        <w:t>之间</w:t>
      </w:r>
      <w:r w:rsidRPr="00B61A85">
        <w:rPr>
          <w:rFonts w:asciiTheme="minorEastAsia" w:hAnsiTheme="minorEastAsia" w:cs="Times New Roman"/>
        </w:rPr>
        <w:t>的联系。</w:t>
      </w:r>
      <w:r w:rsidRPr="00B61A85">
        <w:rPr>
          <w:rFonts w:asciiTheme="minorEastAsia" w:hAnsiTheme="minorEastAsia" w:cs="Times New Roman" w:hint="eastAsia"/>
        </w:rPr>
        <w:t>比如，行业协会商会类可以考虑与其所关联行业薪酬水平进行对比，以</w:t>
      </w:r>
      <w:r w:rsidRPr="00B61A85">
        <w:rPr>
          <w:rFonts w:asciiTheme="minorEastAsia" w:hAnsiTheme="minorEastAsia" w:cs="Times New Roman" w:hint="eastAsia"/>
        </w:rPr>
        <w:lastRenderedPageBreak/>
        <w:t>不低于关联行业50分位值的标准调整薪酬水平，以确保</w:t>
      </w:r>
      <w:r w:rsidR="00674556" w:rsidRPr="00B61A85">
        <w:rPr>
          <w:rFonts w:asciiTheme="minorEastAsia" w:hAnsiTheme="minorEastAsia" w:cs="Times New Roman" w:hint="eastAsia"/>
        </w:rPr>
        <w:t>社会组织薪酬水平在市场上具有一定的竞争力。</w:t>
      </w:r>
      <w:r w:rsidRPr="00B61A85">
        <w:rPr>
          <w:rFonts w:asciiTheme="minorEastAsia" w:hAnsiTheme="minorEastAsia" w:cs="Times New Roman" w:hint="eastAsia"/>
        </w:rPr>
        <w:t>这需要对社会组织及所关联行业薪酬水平进行综合分析，而薪酬调查是其重要方法。因而，需要对社会组织及其关联行业进行定期的薪酬调查。</w:t>
      </w:r>
    </w:p>
    <w:p w:rsidR="009910DE" w:rsidRPr="00B61A85" w:rsidRDefault="009910DE" w:rsidP="00B61A85">
      <w:pPr>
        <w:spacing w:line="400" w:lineRule="exact"/>
        <w:ind w:firstLineChars="200" w:firstLine="422"/>
        <w:rPr>
          <w:rFonts w:asciiTheme="minorEastAsia" w:hAnsiTheme="minorEastAsia" w:cs="Times New Roman"/>
          <w:b/>
        </w:rPr>
      </w:pPr>
      <w:r w:rsidRPr="00B61A85">
        <w:rPr>
          <w:rFonts w:asciiTheme="minorEastAsia" w:hAnsiTheme="minorEastAsia" w:cs="Times New Roman"/>
          <w:b/>
        </w:rPr>
        <w:t>3、</w:t>
      </w:r>
      <w:r w:rsidR="00A25AB6" w:rsidRPr="00B61A85">
        <w:rPr>
          <w:rFonts w:asciiTheme="minorEastAsia" w:hAnsiTheme="minorEastAsia" w:cs="Times New Roman" w:hint="eastAsia"/>
          <w:b/>
        </w:rPr>
        <w:t>以弹性福利</w:t>
      </w:r>
      <w:r w:rsidRPr="00B61A85">
        <w:rPr>
          <w:rFonts w:asciiTheme="minorEastAsia" w:hAnsiTheme="minorEastAsia" w:cs="Times New Roman"/>
          <w:b/>
        </w:rPr>
        <w:t>丰富非物质激励内容</w:t>
      </w:r>
    </w:p>
    <w:p w:rsidR="009910DE" w:rsidRPr="00B61A85" w:rsidRDefault="009910DE"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rPr>
        <w:t>（1）</w:t>
      </w:r>
      <w:r w:rsidRPr="00B61A85">
        <w:rPr>
          <w:rFonts w:asciiTheme="minorEastAsia" w:hAnsiTheme="minorEastAsia" w:cs="Times New Roman" w:hint="eastAsia"/>
        </w:rPr>
        <w:t>保障</w:t>
      </w:r>
      <w:r w:rsidRPr="00B61A85">
        <w:rPr>
          <w:rFonts w:asciiTheme="minorEastAsia" w:hAnsiTheme="minorEastAsia" w:cs="Times New Roman"/>
        </w:rPr>
        <w:t>法定福利</w:t>
      </w:r>
      <w:r w:rsidRPr="00B61A85">
        <w:rPr>
          <w:rFonts w:asciiTheme="minorEastAsia" w:hAnsiTheme="minorEastAsia" w:cs="Times New Roman" w:hint="eastAsia"/>
        </w:rPr>
        <w:t>，</w:t>
      </w:r>
      <w:r w:rsidR="00A25AB6" w:rsidRPr="00B61A85">
        <w:rPr>
          <w:rFonts w:asciiTheme="minorEastAsia" w:hAnsiTheme="minorEastAsia" w:cs="Times New Roman" w:hint="eastAsia"/>
        </w:rPr>
        <w:t>增设</w:t>
      </w:r>
      <w:r w:rsidRPr="00B61A85">
        <w:rPr>
          <w:rFonts w:asciiTheme="minorEastAsia" w:hAnsiTheme="minorEastAsia" w:cs="Times New Roman"/>
        </w:rPr>
        <w:t>组织福利</w:t>
      </w:r>
    </w:p>
    <w:p w:rsidR="009910DE" w:rsidRPr="00B61A85" w:rsidRDefault="009910DE"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hint="eastAsia"/>
        </w:rPr>
        <w:t>在吸引、留住和激励人才的政策中，福利越来越受到重视。对于社会组织而言，由于历史遗留原因，相当多的社会组织尚未有真正意义上执行国家法定福利，社会组织相关政府部门及社会组织自身需要充分重视法定福利，采取措施进行补救和完善。目前，民政部民间组织服务中心已经开始对</w:t>
      </w:r>
      <w:r w:rsidR="00A25AB6" w:rsidRPr="00B61A85">
        <w:rPr>
          <w:rFonts w:asciiTheme="minorEastAsia" w:hAnsiTheme="minorEastAsia" w:cs="Times New Roman" w:hint="eastAsia"/>
        </w:rPr>
        <w:t>决此类</w:t>
      </w:r>
      <w:r w:rsidRPr="00B61A85">
        <w:rPr>
          <w:rFonts w:asciiTheme="minorEastAsia" w:hAnsiTheme="minorEastAsia" w:cs="Times New Roman" w:hint="eastAsia"/>
        </w:rPr>
        <w:t>历史遗留问题，</w:t>
      </w:r>
      <w:r w:rsidR="00A25AB6" w:rsidRPr="00B61A85">
        <w:rPr>
          <w:rFonts w:asciiTheme="minorEastAsia" w:hAnsiTheme="minorEastAsia" w:cs="Times New Roman" w:hint="eastAsia"/>
        </w:rPr>
        <w:t>采取不同措施在</w:t>
      </w:r>
      <w:r w:rsidRPr="00B61A85">
        <w:rPr>
          <w:rFonts w:asciiTheme="minorEastAsia" w:hAnsiTheme="minorEastAsia" w:cs="Times New Roman" w:hint="eastAsia"/>
        </w:rPr>
        <w:t>逐步帮助社会组织完善</w:t>
      </w:r>
      <w:r w:rsidR="00A25AB6" w:rsidRPr="00B61A85">
        <w:rPr>
          <w:rFonts w:asciiTheme="minorEastAsia" w:hAnsiTheme="minorEastAsia" w:cs="Times New Roman" w:hint="eastAsia"/>
        </w:rPr>
        <w:t>其</w:t>
      </w:r>
      <w:r w:rsidRPr="00B61A85">
        <w:rPr>
          <w:rFonts w:asciiTheme="minorEastAsia" w:hAnsiTheme="minorEastAsia" w:cs="Times New Roman" w:hint="eastAsia"/>
        </w:rPr>
        <w:t>法定福利。</w:t>
      </w:r>
      <w:r w:rsidR="00A25AB6" w:rsidRPr="00B61A85">
        <w:rPr>
          <w:rFonts w:asciiTheme="minorEastAsia" w:hAnsiTheme="minorEastAsia" w:cs="Times New Roman" w:hint="eastAsia"/>
        </w:rPr>
        <w:t>在确保法定福利的基础上， 鼓励社会组织设置各自特色的组织福利。</w:t>
      </w:r>
      <w:r w:rsidRPr="00B61A85">
        <w:rPr>
          <w:rFonts w:asciiTheme="minorEastAsia" w:hAnsiTheme="minorEastAsia" w:cs="Times New Roman" w:hint="eastAsia"/>
        </w:rPr>
        <w:t>组织福利是组织根据自身管理理念和条件，在法定福利之外自行设计的福利项目，以更好地吸引和激励员工。尤其是弹性福利计划是目前组织福利计划的重要发展趋势，可以有效节省人工成本的同时最大程度激励员工</w:t>
      </w:r>
      <w:r w:rsidR="004A6A40" w:rsidRPr="00B61A85">
        <w:rPr>
          <w:rFonts w:asciiTheme="minorEastAsia" w:hAnsiTheme="minorEastAsia" w:cs="Times New Roman" w:hint="eastAsia"/>
        </w:rPr>
        <w:t>。同时，</w:t>
      </w:r>
      <w:r w:rsidRPr="00B61A85">
        <w:rPr>
          <w:rFonts w:asciiTheme="minorEastAsia" w:hAnsiTheme="minorEastAsia" w:cs="Times New Roman"/>
        </w:rPr>
        <w:t>有条件的社会组织可以考虑</w:t>
      </w:r>
      <w:r w:rsidRPr="00B61A85">
        <w:rPr>
          <w:rFonts w:asciiTheme="minorEastAsia" w:hAnsiTheme="minorEastAsia" w:cs="Times New Roman" w:hint="eastAsia"/>
        </w:rPr>
        <w:t>设计和实施</w:t>
      </w:r>
      <w:r w:rsidRPr="00B61A85">
        <w:rPr>
          <w:rFonts w:asciiTheme="minorEastAsia" w:hAnsiTheme="minorEastAsia" w:cs="Times New Roman"/>
        </w:rPr>
        <w:t>弹性福利计划。</w:t>
      </w:r>
      <w:r w:rsidR="004A6A40" w:rsidRPr="00B61A85">
        <w:rPr>
          <w:rFonts w:asciiTheme="minorEastAsia" w:hAnsiTheme="minorEastAsia" w:cs="Times New Roman" w:hint="eastAsia"/>
        </w:rPr>
        <w:t>比如，在组织福利中，</w:t>
      </w:r>
      <w:r w:rsidR="00A25AB6" w:rsidRPr="00B61A85">
        <w:rPr>
          <w:rFonts w:asciiTheme="minorEastAsia" w:hAnsiTheme="minorEastAsia" w:cs="Times New Roman" w:hint="eastAsia"/>
        </w:rPr>
        <w:t>企业年金计划可以作为组织自身福利的重要改革方向，引入组织福利内容中，</w:t>
      </w:r>
      <w:r w:rsidRPr="00B61A85">
        <w:rPr>
          <w:rFonts w:asciiTheme="minorEastAsia" w:hAnsiTheme="minorEastAsia" w:cs="Times New Roman" w:hint="eastAsia"/>
        </w:rPr>
        <w:t>根据自身经济实力</w:t>
      </w:r>
      <w:r w:rsidR="00A25AB6" w:rsidRPr="00B61A85">
        <w:rPr>
          <w:rFonts w:asciiTheme="minorEastAsia" w:hAnsiTheme="minorEastAsia" w:cs="Times New Roman" w:hint="eastAsia"/>
        </w:rPr>
        <w:t>，在一定程度上为本组织员工提供退休收入保障。</w:t>
      </w:r>
    </w:p>
    <w:p w:rsidR="0023264F" w:rsidRPr="00B61A85" w:rsidRDefault="00063B0C"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hint="eastAsia"/>
        </w:rPr>
        <w:t>（2）</w:t>
      </w:r>
      <w:r w:rsidR="0023264F" w:rsidRPr="00B61A85">
        <w:rPr>
          <w:rFonts w:asciiTheme="minorEastAsia" w:hAnsiTheme="minorEastAsia" w:cs="Times New Roman" w:hint="eastAsia"/>
        </w:rPr>
        <w:t>丰富非物质激励内容</w:t>
      </w:r>
    </w:p>
    <w:p w:rsidR="0023264F" w:rsidRPr="00B61A85" w:rsidRDefault="00BD20EA"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hint="eastAsia"/>
        </w:rPr>
        <w:t>强化</w:t>
      </w:r>
      <w:r w:rsidR="0023264F" w:rsidRPr="00B61A85">
        <w:rPr>
          <w:rFonts w:asciiTheme="minorEastAsia" w:hAnsiTheme="minorEastAsia" w:cs="Times New Roman" w:hint="eastAsia"/>
        </w:rPr>
        <w:t>使命感和责任感激励。</w:t>
      </w:r>
      <w:r w:rsidR="00A25AB6" w:rsidRPr="00B61A85">
        <w:rPr>
          <w:rFonts w:asciiTheme="minorEastAsia" w:hAnsiTheme="minorEastAsia" w:cs="Times New Roman" w:hint="eastAsia"/>
        </w:rPr>
        <w:t>对于社会组织而言，其</w:t>
      </w:r>
      <w:r w:rsidR="0023264F" w:rsidRPr="00B61A85">
        <w:rPr>
          <w:rFonts w:asciiTheme="minorEastAsia" w:hAnsiTheme="minorEastAsia" w:cs="Times New Roman" w:hint="eastAsia"/>
        </w:rPr>
        <w:t>使命感、责任感</w:t>
      </w:r>
      <w:r w:rsidR="00A25AB6" w:rsidRPr="00B61A85">
        <w:rPr>
          <w:rFonts w:asciiTheme="minorEastAsia" w:hAnsiTheme="minorEastAsia" w:cs="Times New Roman" w:hint="eastAsia"/>
        </w:rPr>
        <w:t>为最强</w:t>
      </w:r>
      <w:r w:rsidR="0023264F" w:rsidRPr="00B61A85">
        <w:rPr>
          <w:rFonts w:asciiTheme="minorEastAsia" w:hAnsiTheme="minorEastAsia" w:cs="Times New Roman" w:hint="eastAsia"/>
        </w:rPr>
        <w:t>，他们本身具有强烈的社会责任感和使命感，同情和关怀弱势群体</w:t>
      </w:r>
      <w:r w:rsidRPr="00B61A85">
        <w:rPr>
          <w:rFonts w:asciiTheme="minorEastAsia" w:hAnsiTheme="minorEastAsia" w:cs="Times New Roman" w:hint="eastAsia"/>
        </w:rPr>
        <w:t>是社会组织特点</w:t>
      </w:r>
      <w:r w:rsidR="0023264F" w:rsidRPr="00B61A85">
        <w:rPr>
          <w:rFonts w:asciiTheme="minorEastAsia" w:hAnsiTheme="minorEastAsia" w:cs="Times New Roman" w:hint="eastAsia"/>
        </w:rPr>
        <w:t>。</w:t>
      </w:r>
    </w:p>
    <w:p w:rsidR="00BD20EA" w:rsidRPr="00B61A85" w:rsidRDefault="00BD20EA"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hint="eastAsia"/>
        </w:rPr>
        <w:t>增加</w:t>
      </w:r>
      <w:r w:rsidR="0023264F" w:rsidRPr="00B61A85">
        <w:rPr>
          <w:rFonts w:asciiTheme="minorEastAsia" w:hAnsiTheme="minorEastAsia" w:cs="Times New Roman" w:hint="eastAsia"/>
        </w:rPr>
        <w:t>工作预期激励。</w:t>
      </w:r>
      <w:r w:rsidRPr="00B61A85">
        <w:rPr>
          <w:rFonts w:asciiTheme="minorEastAsia" w:hAnsiTheme="minorEastAsia" w:cs="Times New Roman" w:hint="eastAsia"/>
        </w:rPr>
        <w:t>非营利组织发挥作用的领域是政府和营利组织“工作失灵”的区域，对于社会组织而言，恰恰为社会组织成员提供了更广阔的舞台，他们因此获得极大的成就感，这种工作预期可以有效激励社会组织成员更加积极的工作。</w:t>
      </w:r>
    </w:p>
    <w:p w:rsidR="00A13D85" w:rsidRPr="00B61A85" w:rsidRDefault="00BD20EA"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hint="eastAsia"/>
        </w:rPr>
        <w:t>创设</w:t>
      </w:r>
      <w:r w:rsidR="0023264F" w:rsidRPr="00B61A85">
        <w:rPr>
          <w:rFonts w:asciiTheme="minorEastAsia" w:hAnsiTheme="minorEastAsia" w:cs="Times New Roman" w:hint="eastAsia"/>
        </w:rPr>
        <w:t>提供培训机会或设立培训基金激励。</w:t>
      </w:r>
      <w:r w:rsidR="00A25AB6" w:rsidRPr="00B61A85">
        <w:rPr>
          <w:rFonts w:asciiTheme="minorEastAsia" w:hAnsiTheme="minorEastAsia" w:cs="Times New Roman" w:hint="eastAsia"/>
        </w:rPr>
        <w:t>此种举措</w:t>
      </w:r>
      <w:r w:rsidRPr="00B61A85">
        <w:rPr>
          <w:rFonts w:asciiTheme="minorEastAsia" w:hAnsiTheme="minorEastAsia" w:cs="Times New Roman" w:hint="eastAsia"/>
        </w:rPr>
        <w:t>将会</w:t>
      </w:r>
      <w:r w:rsidR="00A25AB6" w:rsidRPr="00B61A85">
        <w:rPr>
          <w:rFonts w:asciiTheme="minorEastAsia" w:hAnsiTheme="minorEastAsia" w:cs="Times New Roman" w:hint="eastAsia"/>
        </w:rPr>
        <w:t>对</w:t>
      </w:r>
      <w:r w:rsidRPr="00B61A85">
        <w:rPr>
          <w:rFonts w:asciiTheme="minorEastAsia" w:hAnsiTheme="minorEastAsia" w:cs="Times New Roman" w:hint="eastAsia"/>
        </w:rPr>
        <w:t>社会组织成员</w:t>
      </w:r>
      <w:r w:rsidR="00A25AB6" w:rsidRPr="00B61A85">
        <w:rPr>
          <w:rFonts w:asciiTheme="minorEastAsia" w:hAnsiTheme="minorEastAsia" w:cs="Times New Roman" w:hint="eastAsia"/>
        </w:rPr>
        <w:t>产生更大的激励效果</w:t>
      </w:r>
      <w:r w:rsidRPr="00B61A85">
        <w:rPr>
          <w:rFonts w:asciiTheme="minorEastAsia" w:hAnsiTheme="minorEastAsia" w:cs="Times New Roman" w:hint="eastAsia"/>
        </w:rPr>
        <w:t>。</w:t>
      </w:r>
      <w:r w:rsidR="00A13D85" w:rsidRPr="00B61A85">
        <w:rPr>
          <w:rFonts w:asciiTheme="minorEastAsia" w:hAnsiTheme="minorEastAsia" w:cs="Times New Roman" w:hint="eastAsia"/>
        </w:rPr>
        <w:t>尤其是对于在工作中业绩突出，或者潜力比较大的员工，通过提供培训机会，或者以一定的培训基金投入，对社会组织员工的激励无疑是比较大的。</w:t>
      </w:r>
    </w:p>
    <w:p w:rsidR="0023264F" w:rsidRPr="00B61A85" w:rsidRDefault="00A13D85" w:rsidP="00B61A85">
      <w:pPr>
        <w:spacing w:line="400" w:lineRule="exact"/>
        <w:ind w:firstLineChars="200" w:firstLine="420"/>
        <w:rPr>
          <w:rFonts w:asciiTheme="minorEastAsia" w:hAnsiTheme="minorEastAsia" w:cs="Times New Roman"/>
        </w:rPr>
      </w:pPr>
      <w:r w:rsidRPr="00B61A85">
        <w:rPr>
          <w:rFonts w:asciiTheme="minorEastAsia" w:hAnsiTheme="minorEastAsia" w:cs="Times New Roman" w:hint="eastAsia"/>
        </w:rPr>
        <w:t>自我尊重或自我价值实现的形式进行激励。</w:t>
      </w:r>
      <w:r w:rsidR="0023264F" w:rsidRPr="00B61A85">
        <w:rPr>
          <w:rFonts w:asciiTheme="minorEastAsia" w:hAnsiTheme="minorEastAsia" w:cs="Times New Roman" w:hint="eastAsia"/>
        </w:rPr>
        <w:t>美国心理学家马斯洛提出，人类有五种需求，并将五种需求进行了等级的划分，按层次逐级递升，</w:t>
      </w:r>
      <w:r w:rsidRPr="00B61A85">
        <w:rPr>
          <w:rFonts w:asciiTheme="minorEastAsia" w:hAnsiTheme="minorEastAsia" w:cs="Times New Roman" w:hint="eastAsia"/>
        </w:rPr>
        <w:t>人首先是满足低层次需求，在此基础上，会转而寻求更高层次的需求。</w:t>
      </w:r>
      <w:r w:rsidR="0023264F" w:rsidRPr="00B61A85">
        <w:rPr>
          <w:rFonts w:asciiTheme="minorEastAsia" w:hAnsiTheme="minorEastAsia" w:cs="Times New Roman" w:hint="eastAsia"/>
        </w:rPr>
        <w:t>晋升或参与管理，对于员工而言是自我价值实现的最高需求。通过提供晋升或参与管理的机会，能够有效激励有预期希望的优秀员工。</w:t>
      </w:r>
    </w:p>
    <w:p w:rsidR="009910DE" w:rsidRPr="00071A19" w:rsidRDefault="009910DE" w:rsidP="00071A19">
      <w:pPr>
        <w:ind w:firstLineChars="200" w:firstLine="420"/>
        <w:rPr>
          <w:rFonts w:ascii="Calibri" w:eastAsia="宋体" w:hAnsi="Calibri" w:cs="Times New Roman"/>
        </w:rPr>
      </w:pPr>
    </w:p>
    <w:p w:rsidR="00C1437A" w:rsidRPr="00AD7190" w:rsidRDefault="00881D45" w:rsidP="00AD7190">
      <w:pPr>
        <w:ind w:firstLineChars="200" w:firstLine="422"/>
        <w:rPr>
          <w:rFonts w:ascii="Calibri" w:eastAsia="宋体" w:hAnsi="Calibri" w:cs="Times New Roman"/>
          <w:b/>
        </w:rPr>
      </w:pPr>
      <w:r w:rsidRPr="00AD7190">
        <w:rPr>
          <w:rFonts w:ascii="Calibri" w:eastAsia="宋体" w:hAnsi="Calibri" w:cs="Times New Roman" w:hint="eastAsia"/>
          <w:b/>
        </w:rPr>
        <w:t>参考文献：</w:t>
      </w:r>
    </w:p>
    <w:p w:rsidR="00DC3934" w:rsidRDefault="00881D45" w:rsidP="00DC3934">
      <w:pPr>
        <w:pStyle w:val="ad"/>
        <w:numPr>
          <w:ilvl w:val="0"/>
          <w:numId w:val="2"/>
        </w:numPr>
        <w:ind w:left="0" w:firstLineChars="0" w:firstLine="0"/>
        <w:jc w:val="left"/>
        <w:rPr>
          <w:rFonts w:asciiTheme="minorEastAsia" w:hAnsiTheme="minorEastAsia"/>
        </w:rPr>
      </w:pPr>
      <w:r w:rsidRPr="00DC3934">
        <w:rPr>
          <w:rFonts w:asciiTheme="minorEastAsia" w:hAnsiTheme="minorEastAsia" w:hint="eastAsia"/>
        </w:rPr>
        <w:t>Clayton P. Alderfer</w:t>
      </w:r>
      <w:r w:rsidR="00FB0AF0" w:rsidRPr="00DC3934">
        <w:rPr>
          <w:rFonts w:asciiTheme="minorEastAsia" w:hAnsiTheme="minorEastAsia" w:hint="eastAsia"/>
        </w:rPr>
        <w:t>：</w:t>
      </w:r>
      <w:r w:rsidRPr="00DC3934">
        <w:rPr>
          <w:rFonts w:asciiTheme="minorEastAsia" w:hAnsiTheme="minorEastAsia" w:hint="eastAsia"/>
        </w:rPr>
        <w:t xml:space="preserve">An </w:t>
      </w:r>
      <w:r w:rsidRPr="00DC3934">
        <w:rPr>
          <w:rFonts w:asciiTheme="minorEastAsia" w:hAnsiTheme="minorEastAsia"/>
        </w:rPr>
        <w:t>empirical</w:t>
      </w:r>
      <w:r w:rsidRPr="00DC3934">
        <w:rPr>
          <w:rFonts w:asciiTheme="minorEastAsia" w:hAnsiTheme="minorEastAsia" w:hint="eastAsia"/>
        </w:rPr>
        <w:t xml:space="preserve"> test of a new theory of human needs. Organizational Behavior and Human Perfo</w:t>
      </w:r>
      <w:r w:rsidR="0093259B" w:rsidRPr="00DC3934">
        <w:rPr>
          <w:rFonts w:asciiTheme="minorEastAsia" w:hAnsiTheme="minorEastAsia" w:hint="eastAsia"/>
        </w:rPr>
        <w:t>r</w:t>
      </w:r>
      <w:r w:rsidRPr="00DC3934">
        <w:rPr>
          <w:rFonts w:asciiTheme="minorEastAsia" w:hAnsiTheme="minorEastAsia" w:hint="eastAsia"/>
        </w:rPr>
        <w:t>manc</w:t>
      </w:r>
      <w:r w:rsidR="0093259B" w:rsidRPr="00DC3934">
        <w:rPr>
          <w:rFonts w:asciiTheme="minorEastAsia" w:hAnsiTheme="minorEastAsia" w:hint="eastAsia"/>
        </w:rPr>
        <w:t>e</w:t>
      </w:r>
      <w:r w:rsidRPr="00DC3934">
        <w:rPr>
          <w:rFonts w:asciiTheme="minorEastAsia" w:hAnsiTheme="minorEastAsia" w:hint="eastAsia"/>
        </w:rPr>
        <w:t>，1969(4)</w:t>
      </w:r>
      <w:r w:rsidR="0093259B" w:rsidRPr="00DC3934">
        <w:rPr>
          <w:rFonts w:asciiTheme="minorEastAsia" w:hAnsiTheme="minorEastAsia" w:hint="eastAsia"/>
        </w:rPr>
        <w:t>，第</w:t>
      </w:r>
      <w:r w:rsidRPr="00DC3934">
        <w:rPr>
          <w:rFonts w:asciiTheme="minorEastAsia" w:hAnsiTheme="minorEastAsia" w:hint="eastAsia"/>
        </w:rPr>
        <w:t>142-175</w:t>
      </w:r>
      <w:r w:rsidR="0093259B" w:rsidRPr="00DC3934">
        <w:rPr>
          <w:rFonts w:asciiTheme="minorEastAsia" w:hAnsiTheme="minorEastAsia" w:hint="eastAsia"/>
        </w:rPr>
        <w:t>页。</w:t>
      </w:r>
    </w:p>
    <w:p w:rsidR="00DC3934" w:rsidRDefault="00CE54F1" w:rsidP="00DC3934">
      <w:pPr>
        <w:pStyle w:val="ad"/>
        <w:numPr>
          <w:ilvl w:val="0"/>
          <w:numId w:val="2"/>
        </w:numPr>
        <w:ind w:left="0" w:firstLineChars="0" w:firstLine="0"/>
        <w:jc w:val="left"/>
        <w:rPr>
          <w:rFonts w:asciiTheme="minorEastAsia" w:hAnsiTheme="minorEastAsia"/>
        </w:rPr>
      </w:pPr>
      <w:hyperlink r:id="rId14" w:tgtFrame="_blank" w:history="1">
        <w:r w:rsidR="00E8247A" w:rsidRPr="00DC3934">
          <w:rPr>
            <w:rFonts w:asciiTheme="minorEastAsia" w:hAnsiTheme="minorEastAsia" w:hint="eastAsia"/>
          </w:rPr>
          <w:t>孙春宁</w:t>
        </w:r>
      </w:hyperlink>
      <w:r w:rsidR="00E8247A" w:rsidRPr="00DC3934">
        <w:rPr>
          <w:rFonts w:asciiTheme="minorEastAsia" w:hAnsiTheme="minorEastAsia" w:hint="eastAsia"/>
        </w:rPr>
        <w:t>：加快推进我国现代社会组织体制建立——专访民政部民间组织管理局局长王建军，载《中国社会组织》，2013，第1期，第15-17页。</w:t>
      </w:r>
    </w:p>
    <w:p w:rsidR="00A8453C" w:rsidRPr="00DC3934" w:rsidRDefault="00E8247A" w:rsidP="00DC3934">
      <w:pPr>
        <w:pStyle w:val="ad"/>
        <w:numPr>
          <w:ilvl w:val="0"/>
          <w:numId w:val="2"/>
        </w:numPr>
        <w:ind w:left="0" w:firstLineChars="0" w:firstLine="0"/>
        <w:jc w:val="left"/>
        <w:rPr>
          <w:rFonts w:asciiTheme="minorEastAsia" w:hAnsiTheme="minorEastAsia"/>
        </w:rPr>
      </w:pPr>
      <w:r w:rsidRPr="00DC3934">
        <w:rPr>
          <w:rFonts w:asciiTheme="minorEastAsia" w:hAnsiTheme="minorEastAsia" w:hint="eastAsia"/>
        </w:rPr>
        <w:t>[美]</w:t>
      </w:r>
      <w:r w:rsidRPr="00DC3934">
        <w:rPr>
          <w:rFonts w:asciiTheme="minorEastAsia" w:hAnsiTheme="minorEastAsia"/>
        </w:rPr>
        <w:t>彼得·德鲁克</w:t>
      </w:r>
      <w:r w:rsidR="00FB0AF0" w:rsidRPr="00DC3934">
        <w:rPr>
          <w:rFonts w:asciiTheme="minorEastAsia" w:hAnsiTheme="minorEastAsia" w:hint="eastAsia"/>
        </w:rPr>
        <w:t>：</w:t>
      </w:r>
      <w:r w:rsidR="00C1437A" w:rsidRPr="00DC3934">
        <w:rPr>
          <w:rFonts w:asciiTheme="minorEastAsia" w:hAnsiTheme="minorEastAsia" w:hint="eastAsia"/>
        </w:rPr>
        <w:t>《</w:t>
      </w:r>
      <w:r w:rsidRPr="00DC3934">
        <w:rPr>
          <w:rFonts w:asciiTheme="minorEastAsia" w:hAnsiTheme="minorEastAsia" w:hint="eastAsia"/>
        </w:rPr>
        <w:t>非营利组织的管理</w:t>
      </w:r>
      <w:r w:rsidR="00C1437A" w:rsidRPr="00DC3934">
        <w:rPr>
          <w:rFonts w:asciiTheme="minorEastAsia" w:hAnsiTheme="minorEastAsia" w:hint="eastAsia"/>
        </w:rPr>
        <w:t>》，</w:t>
      </w:r>
      <w:r w:rsidRPr="00DC3934">
        <w:rPr>
          <w:rFonts w:asciiTheme="minorEastAsia" w:hAnsiTheme="minorEastAsia" w:hint="eastAsia"/>
        </w:rPr>
        <w:t>机械工业出版社</w:t>
      </w:r>
      <w:r w:rsidR="00C1437A" w:rsidRPr="00DC3934">
        <w:rPr>
          <w:rFonts w:asciiTheme="minorEastAsia" w:hAnsiTheme="minorEastAsia" w:hint="eastAsia"/>
        </w:rPr>
        <w:t>，2009年版，第</w:t>
      </w:r>
      <w:r w:rsidR="0092703E" w:rsidRPr="00DC3934">
        <w:rPr>
          <w:rFonts w:asciiTheme="minorEastAsia" w:hAnsiTheme="minorEastAsia" w:hint="eastAsia"/>
        </w:rPr>
        <w:t>95</w:t>
      </w:r>
      <w:r w:rsidR="00C1437A" w:rsidRPr="00DC3934">
        <w:rPr>
          <w:rFonts w:asciiTheme="minorEastAsia" w:hAnsiTheme="minorEastAsia" w:hint="eastAsia"/>
        </w:rPr>
        <w:t>-</w:t>
      </w:r>
      <w:r w:rsidR="0092703E" w:rsidRPr="00DC3934">
        <w:rPr>
          <w:rFonts w:asciiTheme="minorEastAsia" w:hAnsiTheme="minorEastAsia" w:hint="eastAsia"/>
        </w:rPr>
        <w:t>96</w:t>
      </w:r>
      <w:r w:rsidR="00C1437A" w:rsidRPr="00DC3934">
        <w:rPr>
          <w:rFonts w:asciiTheme="minorEastAsia" w:hAnsiTheme="minorEastAsia" w:hint="eastAsia"/>
        </w:rPr>
        <w:t>页。</w:t>
      </w:r>
    </w:p>
    <w:p w:rsidR="00881D45" w:rsidRPr="00E32924" w:rsidRDefault="00881D45" w:rsidP="00E32924">
      <w:pPr>
        <w:ind w:left="420"/>
        <w:jc w:val="center"/>
        <w:rPr>
          <w:rFonts w:ascii="Times New Roman" w:eastAsia="宋体" w:hAnsi="Times New Roman" w:cs="Times New Roman"/>
          <w:b/>
          <w:i/>
          <w:sz w:val="24"/>
          <w:szCs w:val="24"/>
        </w:rPr>
      </w:pPr>
      <w:r w:rsidRPr="00E32924">
        <w:rPr>
          <w:rFonts w:ascii="Times New Roman" w:eastAsia="宋体" w:hAnsi="Times New Roman" w:cs="Times New Roman"/>
          <w:b/>
          <w:i/>
          <w:sz w:val="24"/>
          <w:szCs w:val="24"/>
        </w:rPr>
        <w:lastRenderedPageBreak/>
        <w:t xml:space="preserve">Research on the </w:t>
      </w:r>
      <w:r w:rsidRPr="00E32924">
        <w:rPr>
          <w:rFonts w:ascii="Times New Roman" w:eastAsia="宋体" w:hAnsi="Times New Roman" w:cs="Times New Roman" w:hint="eastAsia"/>
          <w:b/>
          <w:i/>
          <w:sz w:val="24"/>
          <w:szCs w:val="24"/>
        </w:rPr>
        <w:t>C</w:t>
      </w:r>
      <w:r w:rsidRPr="00E32924">
        <w:rPr>
          <w:rFonts w:ascii="Times New Roman" w:eastAsia="宋体" w:hAnsi="Times New Roman" w:cs="Times New Roman"/>
          <w:b/>
          <w:i/>
          <w:sz w:val="24"/>
          <w:szCs w:val="24"/>
        </w:rPr>
        <w:t xml:space="preserve">ompensation </w:t>
      </w:r>
      <w:r w:rsidRPr="00E32924">
        <w:rPr>
          <w:rFonts w:ascii="Times New Roman" w:eastAsia="宋体" w:hAnsi="Times New Roman" w:cs="Times New Roman" w:hint="eastAsia"/>
          <w:b/>
          <w:i/>
          <w:sz w:val="24"/>
          <w:szCs w:val="24"/>
        </w:rPr>
        <w:t>S</w:t>
      </w:r>
      <w:r w:rsidRPr="00E32924">
        <w:rPr>
          <w:rFonts w:ascii="Times New Roman" w:eastAsia="宋体" w:hAnsi="Times New Roman" w:cs="Times New Roman"/>
          <w:b/>
          <w:i/>
          <w:sz w:val="24"/>
          <w:szCs w:val="24"/>
        </w:rPr>
        <w:t xml:space="preserve">ystem of </w:t>
      </w:r>
      <w:r w:rsidRPr="00E32924">
        <w:rPr>
          <w:rFonts w:ascii="Times New Roman" w:eastAsia="宋体" w:hAnsi="Times New Roman" w:cs="Times New Roman" w:hint="eastAsia"/>
          <w:b/>
          <w:i/>
          <w:sz w:val="24"/>
          <w:szCs w:val="24"/>
        </w:rPr>
        <w:t>N</w:t>
      </w:r>
      <w:r w:rsidRPr="00E32924">
        <w:rPr>
          <w:rFonts w:ascii="Times New Roman" w:eastAsia="宋体" w:hAnsi="Times New Roman" w:cs="Times New Roman"/>
          <w:b/>
          <w:i/>
          <w:sz w:val="24"/>
          <w:szCs w:val="24"/>
        </w:rPr>
        <w:t xml:space="preserve">on-governmental </w:t>
      </w:r>
      <w:r w:rsidRPr="00E32924">
        <w:rPr>
          <w:rFonts w:ascii="Times New Roman" w:eastAsia="宋体" w:hAnsi="Times New Roman" w:cs="Times New Roman" w:hint="eastAsia"/>
          <w:b/>
          <w:i/>
          <w:sz w:val="24"/>
          <w:szCs w:val="24"/>
        </w:rPr>
        <w:t>O</w:t>
      </w:r>
      <w:r w:rsidRPr="00E32924">
        <w:rPr>
          <w:rFonts w:ascii="Times New Roman" w:eastAsia="宋体" w:hAnsi="Times New Roman" w:cs="Times New Roman"/>
          <w:b/>
          <w:i/>
          <w:sz w:val="24"/>
          <w:szCs w:val="24"/>
        </w:rPr>
        <w:t xml:space="preserve">rganizations </w:t>
      </w:r>
    </w:p>
    <w:p w:rsidR="00881D45" w:rsidRDefault="001F1646" w:rsidP="005712E1">
      <w:pPr>
        <w:pStyle w:val="ad"/>
        <w:ind w:left="420" w:firstLineChars="0" w:firstLine="0"/>
        <w:jc w:val="center"/>
        <w:outlineLvl w:val="0"/>
        <w:rPr>
          <w:rFonts w:ascii="Times New Roman" w:hAnsi="Times New Roman"/>
          <w:szCs w:val="21"/>
        </w:rPr>
      </w:pPr>
      <w:r>
        <w:rPr>
          <w:rFonts w:ascii="Times New Roman" w:hAnsi="Times New Roman" w:hint="eastAsia"/>
          <w:szCs w:val="21"/>
        </w:rPr>
        <w:t>Wang Aimin</w:t>
      </w:r>
      <w:r w:rsidR="00B61A85">
        <w:rPr>
          <w:rFonts w:ascii="Times New Roman" w:hAnsi="Times New Roman" w:hint="eastAsia"/>
          <w:szCs w:val="21"/>
        </w:rPr>
        <w:t>, Li Cui</w:t>
      </w:r>
    </w:p>
    <w:p w:rsidR="00E32924" w:rsidRPr="00E32924" w:rsidRDefault="00E32924" w:rsidP="00E32924">
      <w:pPr>
        <w:pStyle w:val="ad"/>
        <w:ind w:left="420" w:firstLineChars="0" w:firstLine="0"/>
        <w:jc w:val="center"/>
        <w:rPr>
          <w:rFonts w:ascii="Times New Roman" w:hAnsi="Times New Roman"/>
          <w:szCs w:val="21"/>
        </w:rPr>
      </w:pPr>
      <w:r w:rsidRPr="00E06F7C">
        <w:rPr>
          <w:rFonts w:ascii="Times New Roman" w:hAnsi="Times New Roman"/>
          <w:sz w:val="18"/>
          <w:szCs w:val="18"/>
        </w:rPr>
        <w:t>（</w:t>
      </w:r>
      <w:r w:rsidRPr="00E06F7C">
        <w:rPr>
          <w:rFonts w:ascii="Times New Roman" w:hAnsi="Times New Roman"/>
          <w:sz w:val="18"/>
          <w:szCs w:val="18"/>
        </w:rPr>
        <w:t xml:space="preserve">School of Management, </w:t>
      </w:r>
      <w:r>
        <w:rPr>
          <w:rFonts w:ascii="Times New Roman" w:hAnsi="Times New Roman" w:hint="eastAsia"/>
          <w:sz w:val="18"/>
          <w:szCs w:val="18"/>
        </w:rPr>
        <w:t>Beijing City</w:t>
      </w:r>
      <w:r w:rsidRPr="00E06F7C">
        <w:rPr>
          <w:rFonts w:ascii="Times New Roman" w:hAnsi="Times New Roman"/>
          <w:sz w:val="18"/>
          <w:szCs w:val="18"/>
        </w:rPr>
        <w:t xml:space="preserve"> University</w:t>
      </w:r>
      <w:r w:rsidRPr="00E06F7C">
        <w:rPr>
          <w:rFonts w:ascii="Times New Roman" w:hAnsi="Times New Roman"/>
          <w:sz w:val="18"/>
          <w:szCs w:val="18"/>
        </w:rPr>
        <w:t>）</w:t>
      </w:r>
    </w:p>
    <w:p w:rsidR="00881D45" w:rsidRDefault="00881D45" w:rsidP="00FA5C91">
      <w:pPr>
        <w:ind w:firstLineChars="200" w:firstLine="422"/>
        <w:rPr>
          <w:rFonts w:ascii="Times New Roman" w:eastAsia="宋体" w:hAnsi="Times New Roman" w:cs="Times New Roman"/>
          <w:szCs w:val="21"/>
        </w:rPr>
      </w:pPr>
      <w:r w:rsidRPr="00E32924">
        <w:rPr>
          <w:rFonts w:ascii="Times New Roman" w:eastAsia="宋体" w:hAnsi="Times New Roman" w:cs="Times New Roman" w:hint="eastAsia"/>
          <w:b/>
          <w:i/>
          <w:szCs w:val="21"/>
        </w:rPr>
        <w:t xml:space="preserve">Abstract: </w:t>
      </w:r>
      <w:r w:rsidRPr="00E32924">
        <w:rPr>
          <w:rFonts w:ascii="Times New Roman" w:eastAsia="宋体" w:hAnsi="Times New Roman" w:cs="Times New Roman"/>
          <w:szCs w:val="21"/>
        </w:rPr>
        <w:t>In the new historical period, strengthen</w:t>
      </w:r>
      <w:r w:rsidRPr="00E32924">
        <w:rPr>
          <w:rFonts w:ascii="Times New Roman" w:eastAsia="宋体" w:hAnsi="Times New Roman" w:cs="Times New Roman" w:hint="eastAsia"/>
          <w:szCs w:val="21"/>
        </w:rPr>
        <w:t>ing</w:t>
      </w:r>
      <w:r w:rsidRPr="00E32924">
        <w:rPr>
          <w:rFonts w:ascii="Times New Roman" w:eastAsia="宋体" w:hAnsi="Times New Roman" w:cs="Times New Roman"/>
          <w:szCs w:val="21"/>
        </w:rPr>
        <w:t xml:space="preserve"> social construction must</w:t>
      </w:r>
      <w:r w:rsidRPr="00E32924">
        <w:rPr>
          <w:rFonts w:ascii="Times New Roman" w:eastAsia="宋体" w:hAnsi="Times New Roman" w:cs="Times New Roman" w:hint="eastAsia"/>
          <w:szCs w:val="21"/>
        </w:rPr>
        <w:t xml:space="preserve"> </w:t>
      </w:r>
      <w:r w:rsidRPr="00E32924">
        <w:rPr>
          <w:rFonts w:ascii="Times New Roman" w:eastAsia="宋体" w:hAnsi="Times New Roman" w:cs="Times New Roman"/>
          <w:szCs w:val="21"/>
        </w:rPr>
        <w:t xml:space="preserve">arouse NGO vigor. Human resource plays the most important role in the </w:t>
      </w:r>
      <w:r w:rsidRPr="00E32924">
        <w:rPr>
          <w:rFonts w:ascii="Times New Roman" w:eastAsia="宋体" w:hAnsi="Times New Roman" w:cs="Times New Roman" w:hint="eastAsia"/>
          <w:szCs w:val="21"/>
        </w:rPr>
        <w:t>N</w:t>
      </w:r>
      <w:r w:rsidRPr="00E32924">
        <w:rPr>
          <w:rFonts w:ascii="Times New Roman" w:eastAsia="宋体" w:hAnsi="Times New Roman" w:cs="Times New Roman"/>
          <w:szCs w:val="21"/>
        </w:rPr>
        <w:t xml:space="preserve">on-governmental </w:t>
      </w:r>
      <w:r w:rsidRPr="00E32924">
        <w:rPr>
          <w:rFonts w:ascii="Times New Roman" w:eastAsia="宋体" w:hAnsi="Times New Roman" w:cs="Times New Roman" w:hint="eastAsia"/>
          <w:szCs w:val="21"/>
        </w:rPr>
        <w:t>O</w:t>
      </w:r>
      <w:r w:rsidRPr="00E32924">
        <w:rPr>
          <w:rFonts w:ascii="Times New Roman" w:eastAsia="宋体" w:hAnsi="Times New Roman" w:cs="Times New Roman"/>
          <w:szCs w:val="21"/>
        </w:rPr>
        <w:t>rganizations.</w:t>
      </w:r>
      <w:r w:rsidRPr="00E32924">
        <w:rPr>
          <w:rFonts w:ascii="Times New Roman" w:eastAsia="宋体" w:hAnsi="Times New Roman" w:cs="Times New Roman" w:hint="eastAsia"/>
          <w:szCs w:val="21"/>
        </w:rPr>
        <w:t xml:space="preserve"> H</w:t>
      </w:r>
      <w:r w:rsidRPr="00E32924">
        <w:rPr>
          <w:rFonts w:ascii="Times New Roman" w:eastAsia="宋体" w:hAnsi="Times New Roman" w:cs="Times New Roman"/>
          <w:szCs w:val="21"/>
        </w:rPr>
        <w:t>uman resources efficiency </w:t>
      </w:r>
      <w:r w:rsidRPr="00E32924">
        <w:rPr>
          <w:rFonts w:ascii="Times New Roman" w:eastAsia="宋体" w:hAnsi="Times New Roman" w:cs="Times New Roman" w:hint="eastAsia"/>
          <w:szCs w:val="21"/>
        </w:rPr>
        <w:t xml:space="preserve">of </w:t>
      </w:r>
      <w:r w:rsidRPr="00E32924">
        <w:rPr>
          <w:rFonts w:ascii="Times New Roman" w:eastAsia="宋体" w:hAnsi="Times New Roman" w:cs="Times New Roman"/>
          <w:szCs w:val="21"/>
        </w:rPr>
        <w:t>NGO have not been brought into full play, </w:t>
      </w:r>
      <w:r w:rsidRPr="00E32924">
        <w:rPr>
          <w:rFonts w:ascii="Times New Roman" w:eastAsia="宋体" w:hAnsi="Times New Roman" w:cs="Times New Roman" w:hint="eastAsia"/>
          <w:szCs w:val="21"/>
        </w:rPr>
        <w:t>O</w:t>
      </w:r>
      <w:r w:rsidRPr="00E32924">
        <w:rPr>
          <w:rFonts w:ascii="Times New Roman" w:eastAsia="宋体" w:hAnsi="Times New Roman" w:cs="Times New Roman"/>
          <w:szCs w:val="21"/>
        </w:rPr>
        <w:t>ne of the main bottleneck is the salary</w:t>
      </w:r>
      <w:r w:rsidRPr="00E32924">
        <w:rPr>
          <w:rFonts w:ascii="Times New Roman" w:eastAsia="宋体" w:hAnsi="Times New Roman" w:cs="Times New Roman" w:hint="eastAsia"/>
          <w:szCs w:val="21"/>
        </w:rPr>
        <w:t xml:space="preserve"> </w:t>
      </w:r>
      <w:r w:rsidRPr="00E32924">
        <w:rPr>
          <w:rFonts w:ascii="Times New Roman" w:eastAsia="宋体" w:hAnsi="Times New Roman" w:cs="Times New Roman"/>
          <w:szCs w:val="21"/>
        </w:rPr>
        <w:t>question</w:t>
      </w:r>
      <w:r w:rsidRPr="00E32924">
        <w:rPr>
          <w:rFonts w:ascii="Times New Roman" w:eastAsia="宋体" w:hAnsi="Times New Roman" w:cs="Times New Roman" w:hint="eastAsia"/>
          <w:szCs w:val="21"/>
        </w:rPr>
        <w:t xml:space="preserve">. So, it </w:t>
      </w:r>
      <w:r w:rsidRPr="00E32924">
        <w:rPr>
          <w:rFonts w:ascii="Times New Roman" w:eastAsia="宋体" w:hAnsi="Times New Roman" w:cs="Times New Roman"/>
          <w:szCs w:val="21"/>
        </w:rPr>
        <w:t>is of great significance on improving the human resources and social organization system.</w:t>
      </w:r>
    </w:p>
    <w:p w:rsidR="00881D45" w:rsidRPr="00881D45" w:rsidRDefault="00881D45" w:rsidP="00E32924">
      <w:pPr>
        <w:pStyle w:val="15"/>
        <w:shd w:val="clear" w:color="auto" w:fill="auto"/>
        <w:spacing w:before="0" w:after="0" w:line="400" w:lineRule="exact"/>
        <w:ind w:right="102" w:firstLineChars="200" w:firstLine="422"/>
        <w:rPr>
          <w:rFonts w:asciiTheme="minorEastAsia" w:hAnsiTheme="minorEastAsia" w:cs="ArialUnicodeMS"/>
          <w:szCs w:val="21"/>
        </w:rPr>
      </w:pPr>
      <w:r w:rsidRPr="00E32924">
        <w:rPr>
          <w:rFonts w:ascii="Times New Roman" w:eastAsia="宋体" w:hAnsi="Times New Roman" w:cs="Times New Roman" w:hint="eastAsia"/>
          <w:b/>
          <w:i/>
          <w:szCs w:val="21"/>
        </w:rPr>
        <w:t xml:space="preserve">Key words: </w:t>
      </w:r>
      <w:r w:rsidRPr="00E32924">
        <w:rPr>
          <w:rFonts w:ascii="Times New Roman" w:eastAsia="宋体" w:hAnsi="Times New Roman" w:cs="Times New Roman" w:hint="eastAsia"/>
          <w:szCs w:val="21"/>
        </w:rPr>
        <w:t>T</w:t>
      </w:r>
      <w:r w:rsidRPr="00E32924">
        <w:rPr>
          <w:rFonts w:ascii="Times New Roman" w:eastAsia="宋体" w:hAnsi="Times New Roman" w:cs="Times New Roman"/>
          <w:szCs w:val="21"/>
        </w:rPr>
        <w:t xml:space="preserve">he </w:t>
      </w:r>
      <w:r w:rsidRPr="00E32924">
        <w:rPr>
          <w:rFonts w:ascii="Times New Roman" w:eastAsia="宋体" w:hAnsi="Times New Roman" w:cs="Times New Roman" w:hint="eastAsia"/>
          <w:szCs w:val="21"/>
        </w:rPr>
        <w:t>C</w:t>
      </w:r>
      <w:r w:rsidRPr="00E32924">
        <w:rPr>
          <w:rFonts w:ascii="Times New Roman" w:eastAsia="宋体" w:hAnsi="Times New Roman" w:cs="Times New Roman"/>
          <w:szCs w:val="21"/>
        </w:rPr>
        <w:t xml:space="preserve">ompensation </w:t>
      </w:r>
      <w:r w:rsidRPr="00E32924">
        <w:rPr>
          <w:rFonts w:ascii="Times New Roman" w:eastAsia="宋体" w:hAnsi="Times New Roman" w:cs="Times New Roman" w:hint="eastAsia"/>
          <w:szCs w:val="21"/>
        </w:rPr>
        <w:t>C</w:t>
      </w:r>
      <w:r w:rsidRPr="00E32924">
        <w:rPr>
          <w:rFonts w:ascii="Times New Roman" w:eastAsia="宋体" w:hAnsi="Times New Roman" w:cs="Times New Roman"/>
          <w:szCs w:val="21"/>
        </w:rPr>
        <w:t>ystem</w:t>
      </w:r>
      <w:r w:rsidRPr="00E32924">
        <w:rPr>
          <w:rFonts w:ascii="Times New Roman" w:eastAsia="宋体" w:hAnsi="Times New Roman" w:cs="Times New Roman" w:hint="eastAsia"/>
          <w:szCs w:val="21"/>
        </w:rPr>
        <w:t>; N</w:t>
      </w:r>
      <w:r w:rsidRPr="00E32924">
        <w:rPr>
          <w:rFonts w:ascii="Times New Roman" w:eastAsia="宋体" w:hAnsi="Times New Roman" w:cs="Times New Roman"/>
          <w:szCs w:val="21"/>
        </w:rPr>
        <w:t xml:space="preserve">on-governmental </w:t>
      </w:r>
      <w:r w:rsidRPr="00E32924">
        <w:rPr>
          <w:rFonts w:ascii="Times New Roman" w:eastAsia="宋体" w:hAnsi="Times New Roman" w:cs="Times New Roman" w:hint="eastAsia"/>
          <w:szCs w:val="21"/>
        </w:rPr>
        <w:t>O</w:t>
      </w:r>
      <w:r w:rsidRPr="00E32924">
        <w:rPr>
          <w:rFonts w:ascii="Times New Roman" w:eastAsia="宋体" w:hAnsi="Times New Roman" w:cs="Times New Roman"/>
          <w:szCs w:val="21"/>
        </w:rPr>
        <w:t>rganizations (NGO)</w:t>
      </w:r>
      <w:r w:rsidRPr="00E32924">
        <w:rPr>
          <w:rFonts w:ascii="Times New Roman" w:eastAsia="宋体" w:hAnsi="Times New Roman" w:cs="Times New Roman" w:hint="eastAsia"/>
          <w:szCs w:val="21"/>
        </w:rPr>
        <w:t>;</w:t>
      </w:r>
      <w:r w:rsidRPr="00E32924">
        <w:rPr>
          <w:rFonts w:ascii="Times New Roman" w:eastAsia="宋体" w:hAnsi="Times New Roman" w:cs="Times New Roman"/>
          <w:szCs w:val="21"/>
        </w:rPr>
        <w:t xml:space="preserve"> Research</w:t>
      </w:r>
    </w:p>
    <w:p w:rsidR="00881D45" w:rsidRPr="00881D45" w:rsidRDefault="00881D45" w:rsidP="00881D45">
      <w:pPr>
        <w:pStyle w:val="15"/>
        <w:shd w:val="clear" w:color="auto" w:fill="auto"/>
        <w:spacing w:before="0" w:after="0" w:line="400" w:lineRule="exact"/>
        <w:ind w:right="100" w:firstLine="0"/>
        <w:rPr>
          <w:rFonts w:asciiTheme="minorEastAsia" w:hAnsiTheme="minorEastAsia" w:cs="ArialUnicodeMS"/>
          <w:szCs w:val="21"/>
        </w:rPr>
      </w:pPr>
    </w:p>
    <w:p w:rsidR="00881D45" w:rsidRPr="00881D45" w:rsidRDefault="001E145B" w:rsidP="001E145B">
      <w:pPr>
        <w:ind w:firstLineChars="200" w:firstLine="420"/>
        <w:jc w:val="right"/>
        <w:rPr>
          <w:rFonts w:asciiTheme="minorEastAsia" w:hAnsiTheme="minorEastAsia" w:cs="Times New Roman"/>
        </w:rPr>
      </w:pPr>
      <w:r>
        <w:rPr>
          <w:rFonts w:asciiTheme="minorEastAsia" w:hAnsiTheme="minorEastAsia" w:cs="Times New Roman" w:hint="eastAsia"/>
        </w:rPr>
        <w:t>（责任编辑：侯净雯）</w:t>
      </w:r>
    </w:p>
    <w:sectPr w:rsidR="00881D45" w:rsidRPr="00881D45" w:rsidSect="00604712">
      <w:footerReference w:type="default" r:id="rId15"/>
      <w:footnotePr>
        <w:numFmt w:val="decimalEnclosedCircleChinese"/>
      </w:footnotePr>
      <w:type w:val="continuous"/>
      <w:pgSz w:w="11906" w:h="16838"/>
      <w:pgMar w:top="1440" w:right="1983"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FD5" w:rsidRDefault="00E56FD5" w:rsidP="0023264F">
      <w:r>
        <w:separator/>
      </w:r>
    </w:p>
  </w:endnote>
  <w:endnote w:type="continuationSeparator" w:id="1">
    <w:p w:rsidR="00E56FD5" w:rsidRDefault="00E56FD5" w:rsidP="002326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ArialUnicodeMS">
    <w:altName w:val="方正舒体"/>
    <w:panose1 w:val="00000000000000000000"/>
    <w:charset w:val="86"/>
    <w:family w:val="auto"/>
    <w:notTrueType/>
    <w:pitch w:val="default"/>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58560"/>
      <w:docPartObj>
        <w:docPartGallery w:val="Page Numbers (Bottom of Page)"/>
        <w:docPartUnique/>
      </w:docPartObj>
    </w:sdtPr>
    <w:sdtContent>
      <w:p w:rsidR="00D15AA7" w:rsidRDefault="00CE54F1">
        <w:pPr>
          <w:pStyle w:val="a4"/>
          <w:jc w:val="center"/>
        </w:pPr>
        <w:fldSimple w:instr=" PAGE   \* MERGEFORMAT ">
          <w:r w:rsidR="001E145B" w:rsidRPr="001E145B">
            <w:rPr>
              <w:noProof/>
              <w:lang w:val="zh-CN"/>
            </w:rPr>
            <w:t>9</w:t>
          </w:r>
        </w:fldSimple>
      </w:p>
    </w:sdtContent>
  </w:sdt>
  <w:p w:rsidR="00D15AA7" w:rsidRDefault="00D15AA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FD5" w:rsidRDefault="00E56FD5" w:rsidP="0023264F">
      <w:r>
        <w:separator/>
      </w:r>
    </w:p>
  </w:footnote>
  <w:footnote w:type="continuationSeparator" w:id="1">
    <w:p w:rsidR="00E56FD5" w:rsidRDefault="00E56FD5" w:rsidP="0023264F">
      <w:r>
        <w:continuationSeparator/>
      </w:r>
    </w:p>
  </w:footnote>
  <w:footnote w:id="2">
    <w:p w:rsidR="00F876D0" w:rsidRDefault="00F876D0" w:rsidP="00DC3934">
      <w:pPr>
        <w:rPr>
          <w:rFonts w:ascii="Times New Roman" w:hAnsi="Times New Roman" w:hint="eastAsia"/>
          <w:sz w:val="18"/>
        </w:rPr>
      </w:pPr>
      <w:r>
        <w:rPr>
          <w:rFonts w:ascii="Times New Roman" w:hAnsi="Times New Roman" w:hint="eastAsia"/>
          <w:sz w:val="18"/>
        </w:rPr>
        <w:t>投稿时间：</w:t>
      </w:r>
      <w:r>
        <w:rPr>
          <w:rFonts w:ascii="Times New Roman" w:hAnsi="Times New Roman" w:hint="eastAsia"/>
          <w:sz w:val="18"/>
        </w:rPr>
        <w:t>2016</w:t>
      </w:r>
      <w:r>
        <w:rPr>
          <w:rFonts w:ascii="Times New Roman" w:hAnsi="Times New Roman" w:hint="eastAsia"/>
          <w:sz w:val="18"/>
        </w:rPr>
        <w:t>年</w:t>
      </w:r>
      <w:r>
        <w:rPr>
          <w:rFonts w:ascii="Times New Roman" w:hAnsi="Times New Roman" w:hint="eastAsia"/>
          <w:sz w:val="18"/>
        </w:rPr>
        <w:t>04</w:t>
      </w:r>
      <w:r>
        <w:rPr>
          <w:rFonts w:ascii="Times New Roman" w:hAnsi="Times New Roman" w:hint="eastAsia"/>
          <w:sz w:val="18"/>
        </w:rPr>
        <w:t>月</w:t>
      </w:r>
      <w:r>
        <w:rPr>
          <w:rFonts w:ascii="Times New Roman" w:hAnsi="Times New Roman" w:hint="eastAsia"/>
          <w:sz w:val="18"/>
        </w:rPr>
        <w:t>27</w:t>
      </w:r>
      <w:r>
        <w:rPr>
          <w:rFonts w:ascii="Times New Roman" w:hAnsi="Times New Roman" w:hint="eastAsia"/>
          <w:sz w:val="18"/>
        </w:rPr>
        <w:t>日</w:t>
      </w:r>
    </w:p>
    <w:p w:rsidR="00B61A85" w:rsidRDefault="00B61A85" w:rsidP="00DC3934">
      <w:pPr>
        <w:rPr>
          <w:rFonts w:ascii="Times New Roman" w:hAnsi="Times New Roman"/>
          <w:sz w:val="18"/>
        </w:rPr>
      </w:pPr>
      <w:r w:rsidRPr="00B61A85">
        <w:rPr>
          <w:rFonts w:ascii="Times New Roman" w:hAnsi="Times New Roman" w:hint="eastAsia"/>
          <w:sz w:val="18"/>
        </w:rPr>
        <w:t>作者简介：王爱敏（</w:t>
      </w:r>
      <w:r w:rsidRPr="00B61A85">
        <w:rPr>
          <w:rFonts w:ascii="Times New Roman" w:hAnsi="Times New Roman" w:hint="eastAsia"/>
          <w:sz w:val="18"/>
        </w:rPr>
        <w:t>1980</w:t>
      </w:r>
      <w:r>
        <w:rPr>
          <w:rFonts w:ascii="Times New Roman" w:hAnsi="Times New Roman" w:hint="eastAsia"/>
          <w:sz w:val="18"/>
        </w:rPr>
        <w:t>—</w:t>
      </w:r>
      <w:r w:rsidRPr="00B61A85">
        <w:rPr>
          <w:rFonts w:ascii="Times New Roman" w:hAnsi="Times New Roman" w:hint="eastAsia"/>
          <w:sz w:val="18"/>
        </w:rPr>
        <w:t>），女，山东，副教授，博士（后），</w:t>
      </w:r>
      <w:r>
        <w:rPr>
          <w:rFonts w:ascii="Times New Roman" w:hAnsi="Times New Roman" w:hint="eastAsia"/>
          <w:sz w:val="18"/>
        </w:rPr>
        <w:t>研究方向：</w:t>
      </w:r>
      <w:r w:rsidRPr="00B61A85">
        <w:rPr>
          <w:rFonts w:ascii="Times New Roman" w:hAnsi="Times New Roman" w:hint="eastAsia"/>
          <w:sz w:val="18"/>
        </w:rPr>
        <w:t>人力资源管理、社会组织。</w:t>
      </w:r>
    </w:p>
    <w:p w:rsidR="00B61A85" w:rsidRDefault="00B61A85" w:rsidP="00B61A85">
      <w:pPr>
        <w:ind w:firstLineChars="500" w:firstLine="900"/>
        <w:rPr>
          <w:rFonts w:ascii="Times New Roman" w:hAnsi="Times New Roman"/>
          <w:sz w:val="18"/>
        </w:rPr>
      </w:pPr>
      <w:r>
        <w:rPr>
          <w:rFonts w:ascii="Times New Roman" w:hAnsi="Times New Roman" w:hint="eastAsia"/>
          <w:sz w:val="18"/>
        </w:rPr>
        <w:t>李翠（</w:t>
      </w:r>
      <w:r>
        <w:rPr>
          <w:rFonts w:ascii="Times New Roman" w:hAnsi="Times New Roman" w:hint="eastAsia"/>
          <w:sz w:val="18"/>
        </w:rPr>
        <w:t>1983</w:t>
      </w:r>
      <w:r>
        <w:rPr>
          <w:rFonts w:ascii="Times New Roman" w:hAnsi="Times New Roman" w:hint="eastAsia"/>
          <w:sz w:val="18"/>
        </w:rPr>
        <w:t>—），女，山东，讲师，博士，研究方向：人力资源管理</w:t>
      </w:r>
    </w:p>
    <w:p w:rsidR="00DC3934" w:rsidRPr="00DC3934" w:rsidRDefault="00B61A85" w:rsidP="00B61A85">
      <w:pPr>
        <w:rPr>
          <w:rFonts w:ascii="Times New Roman" w:hAnsi="Times New Roman"/>
          <w:sz w:val="18"/>
        </w:rPr>
      </w:pPr>
      <w:r>
        <w:rPr>
          <w:rFonts w:ascii="Times New Roman" w:hAnsi="Times New Roman" w:hint="eastAsia"/>
          <w:sz w:val="18"/>
        </w:rPr>
        <w:t>课题来源：</w:t>
      </w:r>
      <w:r w:rsidR="00DC3934" w:rsidRPr="00DC3934">
        <w:rPr>
          <w:rFonts w:ascii="Times New Roman" w:hAnsi="Times New Roman" w:hint="eastAsia"/>
          <w:sz w:val="18"/>
        </w:rPr>
        <w:t>本文受民政部中国社会组织建设与管理理论研究部级课题《社会组织薪酬制度研究》（</w:t>
      </w:r>
      <w:r w:rsidR="00DC3934" w:rsidRPr="00DC3934">
        <w:rPr>
          <w:rFonts w:ascii="Times New Roman" w:hAnsi="Times New Roman"/>
          <w:sz w:val="18"/>
        </w:rPr>
        <w:t>2013MZACR001-056</w:t>
      </w:r>
      <w:r w:rsidR="00DC3934" w:rsidRPr="00DC3934">
        <w:rPr>
          <w:rFonts w:ascii="Times New Roman" w:hAnsi="Times New Roman" w:hint="eastAsia"/>
          <w:sz w:val="18"/>
        </w:rPr>
        <w:t xml:space="preserve"> </w:t>
      </w:r>
      <w:r w:rsidR="00DC3934" w:rsidRPr="00DC3934">
        <w:rPr>
          <w:rFonts w:ascii="Times New Roman" w:hAnsi="Times New Roman" w:hint="eastAsia"/>
          <w:sz w:val="18"/>
        </w:rPr>
        <w:t>）资助，并获民政部部级课题二等奖。</w:t>
      </w:r>
    </w:p>
  </w:footnote>
  <w:footnote w:id="3">
    <w:p w:rsidR="00DC3934" w:rsidRPr="00DC3934" w:rsidRDefault="00DC3934">
      <w:pPr>
        <w:pStyle w:val="a6"/>
      </w:pPr>
    </w:p>
  </w:footnote>
  <w:footnote w:id="4">
    <w:p w:rsidR="00B61A85" w:rsidRPr="00B61A85" w:rsidRDefault="00B61A85">
      <w:pPr>
        <w:pStyle w:val="a6"/>
      </w:pPr>
    </w:p>
  </w:footnote>
  <w:footnote w:id="5">
    <w:p w:rsidR="00220C3B" w:rsidRDefault="00220C3B" w:rsidP="00220C3B">
      <w:pPr>
        <w:pStyle w:val="a6"/>
      </w:pPr>
      <w:r>
        <w:rPr>
          <w:rStyle w:val="a7"/>
        </w:rPr>
        <w:footnoteRef/>
      </w:r>
      <w:r>
        <w:t xml:space="preserve"> </w:t>
      </w:r>
      <w:r>
        <w:t>根据北京人力资源和社会保障网，目前北京养老保险基金单位缴费比例为</w:t>
      </w:r>
      <w:r>
        <w:t>20%</w:t>
      </w:r>
      <w:r>
        <w:t>，个人缴费比例为</w:t>
      </w:r>
      <w:r>
        <w:t>8%</w:t>
      </w:r>
      <w:r>
        <w:t>；医疗保险单位缴费比例为</w:t>
      </w:r>
      <w:r>
        <w:t>10%</w:t>
      </w:r>
      <w:r>
        <w:t>，个人为</w:t>
      </w:r>
      <w:r>
        <w:t>2%+3</w:t>
      </w:r>
      <w:r>
        <w:t>元；失业保险缴费比例为单位</w:t>
      </w:r>
      <w:r>
        <w:t>1%</w:t>
      </w:r>
      <w:r>
        <w:t>，个人</w:t>
      </w:r>
      <w:r>
        <w:t>0.2%</w:t>
      </w:r>
      <w:r>
        <w:t>；工伤保险单位缴费费率</w:t>
      </w:r>
      <w:r>
        <w:t>0.48%</w:t>
      </w:r>
      <w:r>
        <w:t>，个人不缴费；生育保险单位缴费比例为</w:t>
      </w:r>
      <w:r>
        <w:t>0.8%</w:t>
      </w:r>
      <w:r>
        <w:t>，个人不缴费。住房公积金缴费比例单位和个人同为</w:t>
      </w:r>
      <w:r>
        <w:t>12%</w:t>
      </w:r>
      <w:r>
        <w:t>，取下限并将各项基金缴费比例加总可得单位</w:t>
      </w:r>
      <w:r>
        <w:t>“</w:t>
      </w:r>
      <w:r>
        <w:t>五险一金</w:t>
      </w:r>
      <w:r>
        <w:t>”</w:t>
      </w:r>
      <w:r>
        <w:t>缴存比例为</w:t>
      </w:r>
      <w:r>
        <w:t>44.28%</w:t>
      </w:r>
      <w:r>
        <w:t>，个人缴存比例为</w:t>
      </w:r>
      <w:r>
        <w:t>22.2%</w:t>
      </w:r>
      <w:r>
        <w:t>，这两个比例之和是</w:t>
      </w:r>
      <w:r>
        <w:t>66.48%</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A61B5"/>
    <w:multiLevelType w:val="hybridMultilevel"/>
    <w:tmpl w:val="4746A7F0"/>
    <w:lvl w:ilvl="0" w:tplc="02B42506">
      <w:start w:val="1"/>
      <w:numFmt w:val="decimal"/>
      <w:lvlText w:val="[%1]"/>
      <w:lvlJc w:val="left"/>
      <w:pPr>
        <w:ind w:left="533" w:hanging="420"/>
      </w:pPr>
      <w:rPr>
        <w:rFonts w:hint="eastAsia"/>
      </w:rPr>
    </w:lvl>
    <w:lvl w:ilvl="1" w:tplc="04090019" w:tentative="1">
      <w:start w:val="1"/>
      <w:numFmt w:val="lowerLetter"/>
      <w:lvlText w:val="%2)"/>
      <w:lvlJc w:val="left"/>
      <w:pPr>
        <w:ind w:left="953" w:hanging="420"/>
      </w:pPr>
    </w:lvl>
    <w:lvl w:ilvl="2" w:tplc="0409001B" w:tentative="1">
      <w:start w:val="1"/>
      <w:numFmt w:val="lowerRoman"/>
      <w:lvlText w:val="%3."/>
      <w:lvlJc w:val="right"/>
      <w:pPr>
        <w:ind w:left="1373" w:hanging="420"/>
      </w:pPr>
    </w:lvl>
    <w:lvl w:ilvl="3" w:tplc="0409000F" w:tentative="1">
      <w:start w:val="1"/>
      <w:numFmt w:val="decimal"/>
      <w:lvlText w:val="%4."/>
      <w:lvlJc w:val="left"/>
      <w:pPr>
        <w:ind w:left="1793" w:hanging="420"/>
      </w:pPr>
    </w:lvl>
    <w:lvl w:ilvl="4" w:tplc="04090019" w:tentative="1">
      <w:start w:val="1"/>
      <w:numFmt w:val="lowerLetter"/>
      <w:lvlText w:val="%5)"/>
      <w:lvlJc w:val="left"/>
      <w:pPr>
        <w:ind w:left="2213" w:hanging="420"/>
      </w:pPr>
    </w:lvl>
    <w:lvl w:ilvl="5" w:tplc="0409001B" w:tentative="1">
      <w:start w:val="1"/>
      <w:numFmt w:val="lowerRoman"/>
      <w:lvlText w:val="%6."/>
      <w:lvlJc w:val="right"/>
      <w:pPr>
        <w:ind w:left="2633" w:hanging="420"/>
      </w:pPr>
    </w:lvl>
    <w:lvl w:ilvl="6" w:tplc="0409000F" w:tentative="1">
      <w:start w:val="1"/>
      <w:numFmt w:val="decimal"/>
      <w:lvlText w:val="%7."/>
      <w:lvlJc w:val="left"/>
      <w:pPr>
        <w:ind w:left="3053" w:hanging="420"/>
      </w:pPr>
    </w:lvl>
    <w:lvl w:ilvl="7" w:tplc="04090019" w:tentative="1">
      <w:start w:val="1"/>
      <w:numFmt w:val="lowerLetter"/>
      <w:lvlText w:val="%8)"/>
      <w:lvlJc w:val="left"/>
      <w:pPr>
        <w:ind w:left="3473" w:hanging="420"/>
      </w:pPr>
    </w:lvl>
    <w:lvl w:ilvl="8" w:tplc="0409001B" w:tentative="1">
      <w:start w:val="1"/>
      <w:numFmt w:val="lowerRoman"/>
      <w:lvlText w:val="%9."/>
      <w:lvlJc w:val="right"/>
      <w:pPr>
        <w:ind w:left="3893" w:hanging="420"/>
      </w:pPr>
    </w:lvl>
  </w:abstractNum>
  <w:abstractNum w:abstractNumId="1">
    <w:nsid w:val="3F6241FF"/>
    <w:multiLevelType w:val="hybridMultilevel"/>
    <w:tmpl w:val="A3C2ECF4"/>
    <w:lvl w:ilvl="0" w:tplc="0E96167A">
      <w:start w:val="1"/>
      <w:numFmt w:val="decimal"/>
      <w:lvlText w:val="[%1]"/>
      <w:lvlJc w:val="left"/>
      <w:pPr>
        <w:ind w:left="420" w:hanging="420"/>
      </w:pPr>
      <w:rPr>
        <w:rFonts w:hint="eastAsia"/>
        <w:spacing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numFmt w:val="decimalEnclosedCircleChines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264F"/>
    <w:rsid w:val="00007C0F"/>
    <w:rsid w:val="00035FBC"/>
    <w:rsid w:val="00063B0C"/>
    <w:rsid w:val="00071A19"/>
    <w:rsid w:val="0011206C"/>
    <w:rsid w:val="00113052"/>
    <w:rsid w:val="00164256"/>
    <w:rsid w:val="001854DE"/>
    <w:rsid w:val="001929C5"/>
    <w:rsid w:val="001E145B"/>
    <w:rsid w:val="001F1646"/>
    <w:rsid w:val="00220C3B"/>
    <w:rsid w:val="0023264F"/>
    <w:rsid w:val="002A1587"/>
    <w:rsid w:val="002D1B19"/>
    <w:rsid w:val="002D6376"/>
    <w:rsid w:val="00350E72"/>
    <w:rsid w:val="00373EE9"/>
    <w:rsid w:val="00383901"/>
    <w:rsid w:val="0039571A"/>
    <w:rsid w:val="003D7944"/>
    <w:rsid w:val="004172BB"/>
    <w:rsid w:val="00431A07"/>
    <w:rsid w:val="00475241"/>
    <w:rsid w:val="00487093"/>
    <w:rsid w:val="004A6A40"/>
    <w:rsid w:val="004B14B2"/>
    <w:rsid w:val="004E3255"/>
    <w:rsid w:val="00541580"/>
    <w:rsid w:val="005425BA"/>
    <w:rsid w:val="005712E1"/>
    <w:rsid w:val="0059579E"/>
    <w:rsid w:val="005B0947"/>
    <w:rsid w:val="005B7020"/>
    <w:rsid w:val="00602414"/>
    <w:rsid w:val="00604712"/>
    <w:rsid w:val="00607FBE"/>
    <w:rsid w:val="006544B8"/>
    <w:rsid w:val="00674556"/>
    <w:rsid w:val="00683DF0"/>
    <w:rsid w:val="00727D24"/>
    <w:rsid w:val="007319EE"/>
    <w:rsid w:val="007841A5"/>
    <w:rsid w:val="00785355"/>
    <w:rsid w:val="00796643"/>
    <w:rsid w:val="007A173D"/>
    <w:rsid w:val="007A383C"/>
    <w:rsid w:val="007E6E53"/>
    <w:rsid w:val="00812453"/>
    <w:rsid w:val="00877FE7"/>
    <w:rsid w:val="00881D45"/>
    <w:rsid w:val="008A5DA4"/>
    <w:rsid w:val="008F6934"/>
    <w:rsid w:val="0092703E"/>
    <w:rsid w:val="0093259B"/>
    <w:rsid w:val="00966C43"/>
    <w:rsid w:val="009910DE"/>
    <w:rsid w:val="009A363C"/>
    <w:rsid w:val="009A606B"/>
    <w:rsid w:val="009E0DF6"/>
    <w:rsid w:val="00A13D85"/>
    <w:rsid w:val="00A25AB6"/>
    <w:rsid w:val="00A61A53"/>
    <w:rsid w:val="00A75981"/>
    <w:rsid w:val="00A8453C"/>
    <w:rsid w:val="00AD7190"/>
    <w:rsid w:val="00B160E8"/>
    <w:rsid w:val="00B20645"/>
    <w:rsid w:val="00B21779"/>
    <w:rsid w:val="00B22148"/>
    <w:rsid w:val="00B47A69"/>
    <w:rsid w:val="00B61A85"/>
    <w:rsid w:val="00B632BC"/>
    <w:rsid w:val="00BB495C"/>
    <w:rsid w:val="00BC3F5E"/>
    <w:rsid w:val="00BD20EA"/>
    <w:rsid w:val="00BF62C6"/>
    <w:rsid w:val="00C1437A"/>
    <w:rsid w:val="00C23C9A"/>
    <w:rsid w:val="00C35398"/>
    <w:rsid w:val="00C459DF"/>
    <w:rsid w:val="00C56795"/>
    <w:rsid w:val="00C84889"/>
    <w:rsid w:val="00CC468C"/>
    <w:rsid w:val="00CE0B94"/>
    <w:rsid w:val="00CE54F1"/>
    <w:rsid w:val="00CF4250"/>
    <w:rsid w:val="00D15AA7"/>
    <w:rsid w:val="00D3648F"/>
    <w:rsid w:val="00D37D98"/>
    <w:rsid w:val="00D40739"/>
    <w:rsid w:val="00D43B8B"/>
    <w:rsid w:val="00D55E26"/>
    <w:rsid w:val="00D67CCD"/>
    <w:rsid w:val="00DC3934"/>
    <w:rsid w:val="00E0559C"/>
    <w:rsid w:val="00E20450"/>
    <w:rsid w:val="00E313E8"/>
    <w:rsid w:val="00E315E9"/>
    <w:rsid w:val="00E32924"/>
    <w:rsid w:val="00E56FD5"/>
    <w:rsid w:val="00E8247A"/>
    <w:rsid w:val="00EB487A"/>
    <w:rsid w:val="00EB7410"/>
    <w:rsid w:val="00EC3D8F"/>
    <w:rsid w:val="00EC4DD5"/>
    <w:rsid w:val="00EC758A"/>
    <w:rsid w:val="00ED103E"/>
    <w:rsid w:val="00F16048"/>
    <w:rsid w:val="00F17BA1"/>
    <w:rsid w:val="00F24790"/>
    <w:rsid w:val="00F664C5"/>
    <w:rsid w:val="00F876D0"/>
    <w:rsid w:val="00FA5C91"/>
    <w:rsid w:val="00FB0AF0"/>
    <w:rsid w:val="00FB6F5D"/>
    <w:rsid w:val="00FD66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C43"/>
    <w:pPr>
      <w:widowControl w:val="0"/>
      <w:jc w:val="both"/>
    </w:pPr>
  </w:style>
  <w:style w:type="paragraph" w:styleId="1">
    <w:name w:val="heading 1"/>
    <w:basedOn w:val="a"/>
    <w:next w:val="a"/>
    <w:link w:val="1Char"/>
    <w:uiPriority w:val="9"/>
    <w:qFormat/>
    <w:rsid w:val="0023264F"/>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rsid w:val="0023264F"/>
    <w:pPr>
      <w:keepNext/>
      <w:keepLines/>
      <w:spacing w:before="260" w:after="260" w:line="416" w:lineRule="auto"/>
      <w:outlineLvl w:val="1"/>
    </w:pPr>
    <w:rPr>
      <w:rFonts w:ascii="Cambria" w:eastAsia="宋体"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26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264F"/>
    <w:rPr>
      <w:sz w:val="18"/>
      <w:szCs w:val="18"/>
    </w:rPr>
  </w:style>
  <w:style w:type="paragraph" w:styleId="a4">
    <w:name w:val="footer"/>
    <w:basedOn w:val="a"/>
    <w:link w:val="Char0"/>
    <w:uiPriority w:val="99"/>
    <w:unhideWhenUsed/>
    <w:rsid w:val="0023264F"/>
    <w:pPr>
      <w:tabs>
        <w:tab w:val="center" w:pos="4153"/>
        <w:tab w:val="right" w:pos="8306"/>
      </w:tabs>
      <w:snapToGrid w:val="0"/>
      <w:jc w:val="left"/>
    </w:pPr>
    <w:rPr>
      <w:sz w:val="18"/>
      <w:szCs w:val="18"/>
    </w:rPr>
  </w:style>
  <w:style w:type="character" w:customStyle="1" w:styleId="Char0">
    <w:name w:val="页脚 Char"/>
    <w:basedOn w:val="a0"/>
    <w:link w:val="a4"/>
    <w:uiPriority w:val="99"/>
    <w:rsid w:val="0023264F"/>
    <w:rPr>
      <w:sz w:val="18"/>
      <w:szCs w:val="18"/>
    </w:rPr>
  </w:style>
  <w:style w:type="character" w:customStyle="1" w:styleId="1Char">
    <w:name w:val="标题 1 Char"/>
    <w:basedOn w:val="a0"/>
    <w:link w:val="1"/>
    <w:uiPriority w:val="9"/>
    <w:rsid w:val="0023264F"/>
    <w:rPr>
      <w:rFonts w:ascii="Calibri" w:eastAsia="宋体" w:hAnsi="Calibri" w:cs="Times New Roman"/>
      <w:b/>
      <w:bCs/>
      <w:kern w:val="44"/>
      <w:sz w:val="44"/>
      <w:szCs w:val="44"/>
    </w:rPr>
  </w:style>
  <w:style w:type="character" w:customStyle="1" w:styleId="2Char">
    <w:name w:val="标题 2 Char"/>
    <w:basedOn w:val="a0"/>
    <w:link w:val="2"/>
    <w:uiPriority w:val="9"/>
    <w:rsid w:val="0023264F"/>
    <w:rPr>
      <w:rFonts w:ascii="Cambria" w:eastAsia="宋体" w:hAnsi="Cambria" w:cs="Times New Roman"/>
      <w:b/>
      <w:bCs/>
      <w:kern w:val="0"/>
      <w:sz w:val="32"/>
      <w:szCs w:val="32"/>
    </w:rPr>
  </w:style>
  <w:style w:type="character" w:styleId="a5">
    <w:name w:val="Hyperlink"/>
    <w:uiPriority w:val="99"/>
    <w:unhideWhenUsed/>
    <w:rsid w:val="0023264F"/>
    <w:rPr>
      <w:color w:val="0000FF"/>
      <w:u w:val="single"/>
    </w:rPr>
  </w:style>
  <w:style w:type="paragraph" w:styleId="a6">
    <w:name w:val="footnote text"/>
    <w:basedOn w:val="a"/>
    <w:link w:val="Char1"/>
    <w:uiPriority w:val="99"/>
    <w:unhideWhenUsed/>
    <w:rsid w:val="0023264F"/>
    <w:pPr>
      <w:snapToGrid w:val="0"/>
      <w:jc w:val="left"/>
    </w:pPr>
    <w:rPr>
      <w:rFonts w:ascii="Calibri" w:eastAsia="宋体" w:hAnsi="Calibri" w:cs="Times New Roman"/>
      <w:sz w:val="18"/>
      <w:szCs w:val="18"/>
    </w:rPr>
  </w:style>
  <w:style w:type="character" w:customStyle="1" w:styleId="Char1">
    <w:name w:val="脚注文本 Char"/>
    <w:basedOn w:val="a0"/>
    <w:link w:val="a6"/>
    <w:uiPriority w:val="99"/>
    <w:rsid w:val="0023264F"/>
    <w:rPr>
      <w:rFonts w:ascii="Calibri" w:eastAsia="宋体" w:hAnsi="Calibri" w:cs="Times New Roman"/>
      <w:sz w:val="18"/>
      <w:szCs w:val="18"/>
    </w:rPr>
  </w:style>
  <w:style w:type="character" w:styleId="a7">
    <w:name w:val="footnote reference"/>
    <w:basedOn w:val="a0"/>
    <w:uiPriority w:val="99"/>
    <w:unhideWhenUsed/>
    <w:rsid w:val="0023264F"/>
    <w:rPr>
      <w:vertAlign w:val="superscript"/>
    </w:rPr>
  </w:style>
  <w:style w:type="character" w:customStyle="1" w:styleId="a8">
    <w:name w:val="正文文本_"/>
    <w:basedOn w:val="a0"/>
    <w:link w:val="15"/>
    <w:rsid w:val="0023264F"/>
    <w:rPr>
      <w:shd w:val="clear" w:color="auto" w:fill="FFFFFF"/>
    </w:rPr>
  </w:style>
  <w:style w:type="paragraph" w:customStyle="1" w:styleId="15">
    <w:name w:val="正文文本15"/>
    <w:basedOn w:val="a"/>
    <w:link w:val="a8"/>
    <w:rsid w:val="0023264F"/>
    <w:pPr>
      <w:shd w:val="clear" w:color="auto" w:fill="FFFFFF"/>
      <w:spacing w:before="600" w:after="180" w:line="0" w:lineRule="atLeast"/>
      <w:ind w:hanging="420"/>
      <w:jc w:val="left"/>
    </w:pPr>
  </w:style>
  <w:style w:type="paragraph" w:styleId="a9">
    <w:name w:val="Document Map"/>
    <w:basedOn w:val="a"/>
    <w:link w:val="Char2"/>
    <w:uiPriority w:val="99"/>
    <w:semiHidden/>
    <w:unhideWhenUsed/>
    <w:rsid w:val="0023264F"/>
    <w:rPr>
      <w:rFonts w:ascii="宋体" w:eastAsia="宋体"/>
      <w:sz w:val="18"/>
      <w:szCs w:val="18"/>
    </w:rPr>
  </w:style>
  <w:style w:type="character" w:customStyle="1" w:styleId="Char2">
    <w:name w:val="文档结构图 Char"/>
    <w:basedOn w:val="a0"/>
    <w:link w:val="a9"/>
    <w:uiPriority w:val="99"/>
    <w:semiHidden/>
    <w:rsid w:val="0023264F"/>
    <w:rPr>
      <w:rFonts w:ascii="宋体" w:eastAsia="宋体"/>
      <w:sz w:val="18"/>
      <w:szCs w:val="18"/>
    </w:rPr>
  </w:style>
  <w:style w:type="character" w:customStyle="1" w:styleId="apple-converted-space">
    <w:name w:val="apple-converted-space"/>
    <w:basedOn w:val="a0"/>
    <w:rsid w:val="00D3648F"/>
  </w:style>
  <w:style w:type="character" w:customStyle="1" w:styleId="high-light-bg">
    <w:name w:val="high-light-bg"/>
    <w:basedOn w:val="a0"/>
    <w:rsid w:val="00D3648F"/>
  </w:style>
  <w:style w:type="character" w:styleId="aa">
    <w:name w:val="annotation reference"/>
    <w:basedOn w:val="a0"/>
    <w:uiPriority w:val="99"/>
    <w:semiHidden/>
    <w:unhideWhenUsed/>
    <w:rsid w:val="00A61A53"/>
    <w:rPr>
      <w:sz w:val="21"/>
      <w:szCs w:val="21"/>
    </w:rPr>
  </w:style>
  <w:style w:type="paragraph" w:styleId="ab">
    <w:name w:val="annotation text"/>
    <w:basedOn w:val="a"/>
    <w:link w:val="Char3"/>
    <w:uiPriority w:val="99"/>
    <w:semiHidden/>
    <w:unhideWhenUsed/>
    <w:rsid w:val="00A61A53"/>
    <w:pPr>
      <w:jc w:val="left"/>
    </w:pPr>
    <w:rPr>
      <w:rFonts w:ascii="Calibri" w:eastAsia="宋体" w:hAnsi="Calibri" w:cs="Times New Roman"/>
    </w:rPr>
  </w:style>
  <w:style w:type="character" w:customStyle="1" w:styleId="Char3">
    <w:name w:val="批注文字 Char"/>
    <w:basedOn w:val="a0"/>
    <w:link w:val="ab"/>
    <w:uiPriority w:val="99"/>
    <w:semiHidden/>
    <w:rsid w:val="00A61A53"/>
    <w:rPr>
      <w:rFonts w:ascii="Calibri" w:eastAsia="宋体" w:hAnsi="Calibri" w:cs="Times New Roman"/>
    </w:rPr>
  </w:style>
  <w:style w:type="paragraph" w:styleId="ac">
    <w:name w:val="Balloon Text"/>
    <w:basedOn w:val="a"/>
    <w:link w:val="Char4"/>
    <w:uiPriority w:val="99"/>
    <w:semiHidden/>
    <w:unhideWhenUsed/>
    <w:rsid w:val="00A61A53"/>
    <w:rPr>
      <w:sz w:val="18"/>
      <w:szCs w:val="18"/>
    </w:rPr>
  </w:style>
  <w:style w:type="character" w:customStyle="1" w:styleId="Char4">
    <w:name w:val="批注框文本 Char"/>
    <w:basedOn w:val="a0"/>
    <w:link w:val="ac"/>
    <w:uiPriority w:val="99"/>
    <w:semiHidden/>
    <w:rsid w:val="00A61A53"/>
    <w:rPr>
      <w:sz w:val="18"/>
      <w:szCs w:val="18"/>
    </w:rPr>
  </w:style>
  <w:style w:type="paragraph" w:styleId="ad">
    <w:name w:val="List Paragraph"/>
    <w:basedOn w:val="a"/>
    <w:uiPriority w:val="34"/>
    <w:qFormat/>
    <w:rsid w:val="00EB7410"/>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642730892">
      <w:bodyDiv w:val="1"/>
      <w:marLeft w:val="0"/>
      <w:marRight w:val="0"/>
      <w:marTop w:val="0"/>
      <w:marBottom w:val="0"/>
      <w:divBdr>
        <w:top w:val="none" w:sz="0" w:space="0" w:color="auto"/>
        <w:left w:val="none" w:sz="0" w:space="0" w:color="auto"/>
        <w:bottom w:val="none" w:sz="0" w:space="0" w:color="auto"/>
        <w:right w:val="none" w:sz="0" w:space="0" w:color="auto"/>
      </w:divBdr>
      <w:divsChild>
        <w:div w:id="215700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chart" Target="charts/chart3.xml"/>
  <Relationship Id="rId14" Type="http://schemas.openxmlformats.org/officeDocument/2006/relationships/hyperlink" TargetMode="External" Target="http://search.cnki.com.cn/Search.aspx?q=author:%E5%AD%99%E6%98%A5%E5%AE%81"/>
  <Relationship Id="rId15" Type="http://schemas.openxmlformats.org/officeDocument/2006/relationships/footer" Target="footer1.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hart" Target="charts/chart1.xml"/>
  <Relationship Id="rId9" Type="http://schemas.openxmlformats.org/officeDocument/2006/relationships/chart" Target="charts/chart2.xml"/>
</Relationships>

</file>

<file path=word/charts/_rels/chart1.xml.rels><?xml version="1.0" encoding="UTF-8"?>

<Relationships xmlns="http://schemas.openxmlformats.org/package/2006/relationships">
  <Relationship Id="rId1" Type="http://schemas.openxmlformats.org/officeDocument/2006/relationships/oleObject" TargetMode="External" Target="file:///E:/&#20013;&#22269;&#20154;&#20107;&#31185;&#23398;&#30740;&#31350;&#38498;/&#20840;&#22269;&#31038;&#20250;&#32452;&#32455;&#34218;&#37228;&#35843;&#30740;&#39033;&#30446;/&#31038;&#20250;&#32452;&#32455;&#34218;&#37228;&#35843;&#26597;&#38382;&#21367;&#25968;&#25454;/&#26223;/9.2/&#20844;&#30410;&#24904;&#21892;&#31867;&#25968;&#25454;&#32479;&#35745;.xlsx"/>
</Relationships>

</file>

<file path=word/charts/_rels/chart2.xml.rels><?xml version="1.0" encoding="UTF-8"?>

<Relationships xmlns="http://schemas.openxmlformats.org/package/2006/relationships">
  <Relationship Id="rId1" Type="http://schemas.openxmlformats.org/officeDocument/2006/relationships/oleObject" TargetMode="External" Target="file:///E:/&#20013;&#22269;&#20154;&#20107;&#31185;&#23398;&#30740;&#31350;&#38498;/&#20840;&#22269;&#31038;&#20250;&#32452;&#32455;&#34218;&#37228;&#35843;&#30740;&#39033;&#30446;/&#31038;&#20250;&#32452;&#32455;&#34218;&#37228;&#35843;&#26597;&#38382;&#21367;&#25968;&#25454;/&#26223;/9.2/&#20844;&#30410;&#24904;&#21892;&#31867;&#25968;&#25454;&#32479;&#35745;.xlsx"/>
</Relationships>

</file>

<file path=word/charts/_rels/chart3.xml.rels><?xml version="1.0" encoding="UTF-8"?>

<Relationships xmlns="http://schemas.openxmlformats.org/package/2006/relationships">
  <Relationship Id="rId1" Type="http://schemas.openxmlformats.org/officeDocument/2006/relationships/oleObject" TargetMode="External" Target="file:///E:/&#20013;&#22269;&#20154;&#20107;&#31185;&#23398;&#30740;&#31350;&#38498;/&#20840;&#22269;&#31038;&#20250;&#32452;&#32455;&#34218;&#37228;&#35843;&#30740;&#39033;&#30446;/&#31038;&#20250;&#32452;&#32455;&#34218;&#37228;&#35843;&#26597;&#38382;&#21367;&#25968;&#25454;/&#26223;/9.2/&#20844;&#30410;&#24904;&#21892;&#31867;&#25968;&#25454;&#32479;&#35745;.xlsx"/>
</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view3D>
      <c:rAngAx val="1"/>
    </c:view3D>
    <c:plotArea>
      <c:layout/>
      <c:bar3DChart>
        <c:barDir val="col"/>
        <c:grouping val="clustered"/>
        <c:ser>
          <c:idx val="0"/>
          <c:order val="0"/>
          <c:tx>
            <c:strRef>
              <c:f>Sheet1!$A$63</c:f>
              <c:strCache>
                <c:ptCount val="1"/>
                <c:pt idx="0">
                  <c:v>公益慈善类</c:v>
                </c:pt>
              </c:strCache>
            </c:strRef>
          </c:tx>
          <c:dLbls>
            <c:txPr>
              <a:bodyPr/>
              <a:lstStyle/>
              <a:p>
                <a:pPr>
                  <a:defRPr sz="700"/>
                </a:pPr>
                <a:endParaRPr lang="zh-CN"/>
              </a:p>
            </c:txPr>
            <c:showVal val="1"/>
          </c:dLbls>
          <c:cat>
            <c:strRef>
              <c:f>Sheet1!$B$61:$F$62</c:f>
              <c:strCache>
                <c:ptCount val="5"/>
                <c:pt idx="0">
                  <c:v>远高于</c:v>
                </c:pt>
                <c:pt idx="1">
                  <c:v>高于</c:v>
                </c:pt>
                <c:pt idx="2">
                  <c:v>相当于</c:v>
                </c:pt>
                <c:pt idx="3">
                  <c:v>低于</c:v>
                </c:pt>
                <c:pt idx="4">
                  <c:v>远低于</c:v>
                </c:pt>
              </c:strCache>
            </c:strRef>
          </c:cat>
          <c:val>
            <c:numRef>
              <c:f>Sheet1!$B$63:$F$63</c:f>
              <c:numCache>
                <c:formatCode>General</c:formatCode>
                <c:ptCount val="5"/>
                <c:pt idx="0">
                  <c:v>2</c:v>
                </c:pt>
                <c:pt idx="1">
                  <c:v>9</c:v>
                </c:pt>
                <c:pt idx="2">
                  <c:v>21</c:v>
                </c:pt>
                <c:pt idx="3">
                  <c:v>55</c:v>
                </c:pt>
                <c:pt idx="4">
                  <c:v>13</c:v>
                </c:pt>
              </c:numCache>
            </c:numRef>
          </c:val>
        </c:ser>
        <c:ser>
          <c:idx val="1"/>
          <c:order val="1"/>
          <c:tx>
            <c:strRef>
              <c:f>Sheet1!$A$64</c:f>
              <c:strCache>
                <c:ptCount val="1"/>
                <c:pt idx="0">
                  <c:v>科技类</c:v>
                </c:pt>
              </c:strCache>
            </c:strRef>
          </c:tx>
          <c:dLbls>
            <c:txPr>
              <a:bodyPr/>
              <a:lstStyle/>
              <a:p>
                <a:pPr>
                  <a:defRPr sz="700"/>
                </a:pPr>
                <a:endParaRPr lang="zh-CN"/>
              </a:p>
            </c:txPr>
            <c:showVal val="1"/>
          </c:dLbls>
          <c:cat>
            <c:strRef>
              <c:f>Sheet1!$B$61:$F$62</c:f>
              <c:strCache>
                <c:ptCount val="5"/>
                <c:pt idx="0">
                  <c:v>远高于</c:v>
                </c:pt>
                <c:pt idx="1">
                  <c:v>高于</c:v>
                </c:pt>
                <c:pt idx="2">
                  <c:v>相当于</c:v>
                </c:pt>
                <c:pt idx="3">
                  <c:v>低于</c:v>
                </c:pt>
                <c:pt idx="4">
                  <c:v>远低于</c:v>
                </c:pt>
              </c:strCache>
            </c:strRef>
          </c:cat>
          <c:val>
            <c:numRef>
              <c:f>Sheet1!$B$64:$F$64</c:f>
              <c:numCache>
                <c:formatCode>General</c:formatCode>
                <c:ptCount val="5"/>
                <c:pt idx="0">
                  <c:v>0</c:v>
                </c:pt>
                <c:pt idx="1">
                  <c:v>0</c:v>
                </c:pt>
                <c:pt idx="2">
                  <c:v>36</c:v>
                </c:pt>
                <c:pt idx="3">
                  <c:v>45</c:v>
                </c:pt>
                <c:pt idx="4">
                  <c:v>18</c:v>
                </c:pt>
              </c:numCache>
            </c:numRef>
          </c:val>
        </c:ser>
        <c:ser>
          <c:idx val="2"/>
          <c:order val="2"/>
          <c:tx>
            <c:strRef>
              <c:f>Sheet1!$A$65</c:f>
              <c:strCache>
                <c:ptCount val="1"/>
                <c:pt idx="0">
                  <c:v>行业协会商会类</c:v>
                </c:pt>
              </c:strCache>
            </c:strRef>
          </c:tx>
          <c:dLbls>
            <c:txPr>
              <a:bodyPr/>
              <a:lstStyle/>
              <a:p>
                <a:pPr>
                  <a:defRPr sz="700"/>
                </a:pPr>
                <a:endParaRPr lang="zh-CN"/>
              </a:p>
            </c:txPr>
            <c:showVal val="1"/>
          </c:dLbls>
          <c:cat>
            <c:strRef>
              <c:f>Sheet1!$B$61:$F$62</c:f>
              <c:strCache>
                <c:ptCount val="5"/>
                <c:pt idx="0">
                  <c:v>远高于</c:v>
                </c:pt>
                <c:pt idx="1">
                  <c:v>高于</c:v>
                </c:pt>
                <c:pt idx="2">
                  <c:v>相当于</c:v>
                </c:pt>
                <c:pt idx="3">
                  <c:v>低于</c:v>
                </c:pt>
                <c:pt idx="4">
                  <c:v>远低于</c:v>
                </c:pt>
              </c:strCache>
            </c:strRef>
          </c:cat>
          <c:val>
            <c:numRef>
              <c:f>Sheet1!$B$65:$F$65</c:f>
              <c:numCache>
                <c:formatCode>General</c:formatCode>
                <c:ptCount val="5"/>
                <c:pt idx="0">
                  <c:v>5</c:v>
                </c:pt>
                <c:pt idx="1">
                  <c:v>5</c:v>
                </c:pt>
                <c:pt idx="2">
                  <c:v>28</c:v>
                </c:pt>
                <c:pt idx="3">
                  <c:v>45</c:v>
                </c:pt>
                <c:pt idx="4">
                  <c:v>18</c:v>
                </c:pt>
              </c:numCache>
            </c:numRef>
          </c:val>
        </c:ser>
        <c:shape val="cylinder"/>
        <c:axId val="282252416"/>
        <c:axId val="282253952"/>
        <c:axId val="0"/>
      </c:bar3DChart>
      <c:catAx>
        <c:axId val="282252416"/>
        <c:scaling>
          <c:orientation val="minMax"/>
        </c:scaling>
        <c:axPos val="b"/>
        <c:tickLblPos val="nextTo"/>
        <c:crossAx val="282253952"/>
        <c:crosses val="autoZero"/>
        <c:auto val="1"/>
        <c:lblAlgn val="ctr"/>
        <c:lblOffset val="100"/>
      </c:catAx>
      <c:valAx>
        <c:axId val="282253952"/>
        <c:scaling>
          <c:orientation val="minMax"/>
        </c:scaling>
        <c:axPos val="l"/>
        <c:majorGridlines/>
        <c:numFmt formatCode="General" sourceLinked="1"/>
        <c:tickLblPos val="nextTo"/>
        <c:crossAx val="282252416"/>
        <c:crosses val="autoZero"/>
        <c:crossBetween val="between"/>
      </c:valAx>
    </c:plotArea>
    <c:legend>
      <c:legendPos val="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view3D>
      <c:rAngAx val="1"/>
    </c:view3D>
    <c:plotArea>
      <c:layout/>
      <c:bar3DChart>
        <c:barDir val="col"/>
        <c:grouping val="clustered"/>
        <c:ser>
          <c:idx val="0"/>
          <c:order val="0"/>
          <c:tx>
            <c:strRef>
              <c:f>Sheet1!$A$25</c:f>
              <c:strCache>
                <c:ptCount val="1"/>
                <c:pt idx="0">
                  <c:v>公益慈善类</c:v>
                </c:pt>
              </c:strCache>
            </c:strRef>
          </c:tx>
          <c:dLbls>
            <c:txPr>
              <a:bodyPr/>
              <a:lstStyle/>
              <a:p>
                <a:pPr>
                  <a:defRPr sz="700"/>
                </a:pPr>
                <a:endParaRPr lang="zh-CN"/>
              </a:p>
            </c:txPr>
            <c:showVal val="1"/>
          </c:dLbls>
          <c:cat>
            <c:strRef>
              <c:f>Sheet1!$B$23:$F$24</c:f>
              <c:strCache>
                <c:ptCount val="5"/>
                <c:pt idx="0">
                  <c:v>非常赞成</c:v>
                </c:pt>
                <c:pt idx="1">
                  <c:v>赞成</c:v>
                </c:pt>
                <c:pt idx="2">
                  <c:v>一般</c:v>
                </c:pt>
                <c:pt idx="3">
                  <c:v>不赞成</c:v>
                </c:pt>
                <c:pt idx="4">
                  <c:v>非常不赞成</c:v>
                </c:pt>
              </c:strCache>
            </c:strRef>
          </c:cat>
          <c:val>
            <c:numRef>
              <c:f>Sheet1!$B$25:$F$25</c:f>
              <c:numCache>
                <c:formatCode>0_ </c:formatCode>
                <c:ptCount val="5"/>
                <c:pt idx="0">
                  <c:v>9</c:v>
                </c:pt>
                <c:pt idx="1">
                  <c:v>23.4</c:v>
                </c:pt>
                <c:pt idx="2">
                  <c:v>36.17</c:v>
                </c:pt>
                <c:pt idx="3">
                  <c:v>27.66</c:v>
                </c:pt>
                <c:pt idx="4">
                  <c:v>4.26</c:v>
                </c:pt>
              </c:numCache>
            </c:numRef>
          </c:val>
        </c:ser>
        <c:ser>
          <c:idx val="1"/>
          <c:order val="1"/>
          <c:tx>
            <c:strRef>
              <c:f>Sheet1!$A$26</c:f>
              <c:strCache>
                <c:ptCount val="1"/>
                <c:pt idx="0">
                  <c:v>科技类</c:v>
                </c:pt>
              </c:strCache>
            </c:strRef>
          </c:tx>
          <c:dLbls>
            <c:txPr>
              <a:bodyPr/>
              <a:lstStyle/>
              <a:p>
                <a:pPr>
                  <a:defRPr sz="700"/>
                </a:pPr>
                <a:endParaRPr lang="zh-CN"/>
              </a:p>
            </c:txPr>
            <c:showVal val="1"/>
          </c:dLbls>
          <c:cat>
            <c:strRef>
              <c:f>Sheet1!$B$23:$F$24</c:f>
              <c:strCache>
                <c:ptCount val="5"/>
                <c:pt idx="0">
                  <c:v>非常赞成</c:v>
                </c:pt>
                <c:pt idx="1">
                  <c:v>赞成</c:v>
                </c:pt>
                <c:pt idx="2">
                  <c:v>一般</c:v>
                </c:pt>
                <c:pt idx="3">
                  <c:v>不赞成</c:v>
                </c:pt>
                <c:pt idx="4">
                  <c:v>非常不赞成</c:v>
                </c:pt>
              </c:strCache>
            </c:strRef>
          </c:cat>
          <c:val>
            <c:numRef>
              <c:f>Sheet1!$B$26:$F$26</c:f>
              <c:numCache>
                <c:formatCode>0_ </c:formatCode>
                <c:ptCount val="5"/>
                <c:pt idx="0">
                  <c:v>18.18</c:v>
                </c:pt>
                <c:pt idx="1">
                  <c:v>27.27</c:v>
                </c:pt>
                <c:pt idx="2">
                  <c:v>27.27</c:v>
                </c:pt>
                <c:pt idx="3">
                  <c:v>18.18</c:v>
                </c:pt>
                <c:pt idx="4">
                  <c:v>9.09</c:v>
                </c:pt>
              </c:numCache>
            </c:numRef>
          </c:val>
        </c:ser>
        <c:ser>
          <c:idx val="2"/>
          <c:order val="2"/>
          <c:tx>
            <c:strRef>
              <c:f>Sheet1!$A$27</c:f>
              <c:strCache>
                <c:ptCount val="1"/>
                <c:pt idx="0">
                  <c:v>行业协会商会类</c:v>
                </c:pt>
              </c:strCache>
            </c:strRef>
          </c:tx>
          <c:dLbls>
            <c:txPr>
              <a:bodyPr/>
              <a:lstStyle/>
              <a:p>
                <a:pPr>
                  <a:defRPr sz="700"/>
                </a:pPr>
                <a:endParaRPr lang="zh-CN"/>
              </a:p>
            </c:txPr>
            <c:showVal val="1"/>
          </c:dLbls>
          <c:cat>
            <c:strRef>
              <c:f>Sheet1!$B$23:$F$24</c:f>
              <c:strCache>
                <c:ptCount val="5"/>
                <c:pt idx="0">
                  <c:v>非常赞成</c:v>
                </c:pt>
                <c:pt idx="1">
                  <c:v>赞成</c:v>
                </c:pt>
                <c:pt idx="2">
                  <c:v>一般</c:v>
                </c:pt>
                <c:pt idx="3">
                  <c:v>不赞成</c:v>
                </c:pt>
                <c:pt idx="4">
                  <c:v>非常不赞成</c:v>
                </c:pt>
              </c:strCache>
            </c:strRef>
          </c:cat>
          <c:val>
            <c:numRef>
              <c:f>Sheet1!$B$27:$F$27</c:f>
              <c:numCache>
                <c:formatCode>0_ </c:formatCode>
                <c:ptCount val="5"/>
                <c:pt idx="0">
                  <c:v>7.5</c:v>
                </c:pt>
                <c:pt idx="1">
                  <c:v>27.5</c:v>
                </c:pt>
                <c:pt idx="2">
                  <c:v>40</c:v>
                </c:pt>
                <c:pt idx="3">
                  <c:v>20</c:v>
                </c:pt>
                <c:pt idx="4">
                  <c:v>5</c:v>
                </c:pt>
              </c:numCache>
            </c:numRef>
          </c:val>
        </c:ser>
        <c:shape val="cylinder"/>
        <c:axId val="282517504"/>
        <c:axId val="282520576"/>
        <c:axId val="0"/>
      </c:bar3DChart>
      <c:catAx>
        <c:axId val="282517504"/>
        <c:scaling>
          <c:orientation val="minMax"/>
        </c:scaling>
        <c:axPos val="b"/>
        <c:tickLblPos val="nextTo"/>
        <c:crossAx val="282520576"/>
        <c:crosses val="autoZero"/>
        <c:auto val="1"/>
        <c:lblAlgn val="ctr"/>
        <c:lblOffset val="100"/>
      </c:catAx>
      <c:valAx>
        <c:axId val="282520576"/>
        <c:scaling>
          <c:orientation val="minMax"/>
        </c:scaling>
        <c:axPos val="l"/>
        <c:majorGridlines/>
        <c:numFmt formatCode="0_ " sourceLinked="1"/>
        <c:tickLblPos val="nextTo"/>
        <c:crossAx val="282517504"/>
        <c:crosses val="autoZero"/>
        <c:crossBetween val="between"/>
      </c:valAx>
    </c:plotArea>
    <c:legend>
      <c:legendPos val="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00"/>
            </a:pPr>
            <a:r>
              <a:rPr lang="en-US" altLang="zh-CN" sz="900"/>
              <a:t>19.</a:t>
            </a:r>
            <a:r>
              <a:rPr lang="zh-CN" altLang="en-US" sz="900"/>
              <a:t>您的工资收入水平在社会中处于什么位次（</a:t>
            </a:r>
            <a:r>
              <a:rPr lang="en-US" altLang="zh-CN" sz="900"/>
              <a:t>%</a:t>
            </a:r>
            <a:r>
              <a:rPr lang="zh-CN" altLang="en-US" sz="900"/>
              <a:t>）</a:t>
            </a:r>
          </a:p>
        </c:rich>
      </c:tx>
    </c:title>
    <c:view3D>
      <c:rAngAx val="1"/>
    </c:view3D>
    <c:plotArea>
      <c:layout/>
      <c:bar3DChart>
        <c:barDir val="col"/>
        <c:grouping val="clustered"/>
        <c:ser>
          <c:idx val="0"/>
          <c:order val="0"/>
          <c:tx>
            <c:strRef>
              <c:f>Sheet1!$A$56</c:f>
              <c:strCache>
                <c:ptCount val="1"/>
                <c:pt idx="0">
                  <c:v>公益慈善类</c:v>
                </c:pt>
              </c:strCache>
            </c:strRef>
          </c:tx>
          <c:dLbls>
            <c:txPr>
              <a:bodyPr/>
              <a:lstStyle/>
              <a:p>
                <a:pPr>
                  <a:defRPr sz="800"/>
                </a:pPr>
                <a:endParaRPr lang="zh-CN"/>
              </a:p>
            </c:txPr>
            <c:showVal val="1"/>
          </c:dLbls>
          <c:cat>
            <c:strRef>
              <c:f>Sheet1!$B$54:$F$55</c:f>
              <c:strCache>
                <c:ptCount val="5"/>
                <c:pt idx="0">
                  <c:v>上等</c:v>
                </c:pt>
                <c:pt idx="1">
                  <c:v>中等偏上</c:v>
                </c:pt>
                <c:pt idx="2">
                  <c:v>中等</c:v>
                </c:pt>
                <c:pt idx="3">
                  <c:v>中等偏下</c:v>
                </c:pt>
                <c:pt idx="4">
                  <c:v>下等</c:v>
                </c:pt>
              </c:strCache>
            </c:strRef>
          </c:cat>
          <c:val>
            <c:numRef>
              <c:f>Sheet1!$B$56:$F$56</c:f>
              <c:numCache>
                <c:formatCode>General</c:formatCode>
                <c:ptCount val="5"/>
                <c:pt idx="0">
                  <c:v>2</c:v>
                </c:pt>
                <c:pt idx="1">
                  <c:v>15</c:v>
                </c:pt>
                <c:pt idx="2">
                  <c:v>38</c:v>
                </c:pt>
                <c:pt idx="3">
                  <c:v>32</c:v>
                </c:pt>
                <c:pt idx="4">
                  <c:v>13</c:v>
                </c:pt>
              </c:numCache>
            </c:numRef>
          </c:val>
        </c:ser>
        <c:ser>
          <c:idx val="1"/>
          <c:order val="1"/>
          <c:tx>
            <c:strRef>
              <c:f>Sheet1!$A$57</c:f>
              <c:strCache>
                <c:ptCount val="1"/>
                <c:pt idx="0">
                  <c:v>科技类</c:v>
                </c:pt>
              </c:strCache>
            </c:strRef>
          </c:tx>
          <c:dLbls>
            <c:txPr>
              <a:bodyPr/>
              <a:lstStyle/>
              <a:p>
                <a:pPr>
                  <a:defRPr sz="800"/>
                </a:pPr>
                <a:endParaRPr lang="zh-CN"/>
              </a:p>
            </c:txPr>
            <c:showVal val="1"/>
          </c:dLbls>
          <c:cat>
            <c:strRef>
              <c:f>Sheet1!$B$54:$F$55</c:f>
              <c:strCache>
                <c:ptCount val="5"/>
                <c:pt idx="0">
                  <c:v>上等</c:v>
                </c:pt>
                <c:pt idx="1">
                  <c:v>中等偏上</c:v>
                </c:pt>
                <c:pt idx="2">
                  <c:v>中等</c:v>
                </c:pt>
                <c:pt idx="3">
                  <c:v>中等偏下</c:v>
                </c:pt>
                <c:pt idx="4">
                  <c:v>下等</c:v>
                </c:pt>
              </c:strCache>
            </c:strRef>
          </c:cat>
          <c:val>
            <c:numRef>
              <c:f>Sheet1!$B$57:$F$57</c:f>
              <c:numCache>
                <c:formatCode>General</c:formatCode>
                <c:ptCount val="5"/>
                <c:pt idx="0">
                  <c:v>9</c:v>
                </c:pt>
                <c:pt idx="1">
                  <c:v>9</c:v>
                </c:pt>
                <c:pt idx="2">
                  <c:v>55</c:v>
                </c:pt>
                <c:pt idx="3">
                  <c:v>27</c:v>
                </c:pt>
                <c:pt idx="4">
                  <c:v>0</c:v>
                </c:pt>
              </c:numCache>
            </c:numRef>
          </c:val>
        </c:ser>
        <c:ser>
          <c:idx val="2"/>
          <c:order val="2"/>
          <c:tx>
            <c:strRef>
              <c:f>Sheet1!$A$58</c:f>
              <c:strCache>
                <c:ptCount val="1"/>
                <c:pt idx="0">
                  <c:v>行业协会商会类</c:v>
                </c:pt>
              </c:strCache>
            </c:strRef>
          </c:tx>
          <c:dLbls>
            <c:txPr>
              <a:bodyPr/>
              <a:lstStyle/>
              <a:p>
                <a:pPr>
                  <a:defRPr sz="800"/>
                </a:pPr>
                <a:endParaRPr lang="zh-CN"/>
              </a:p>
            </c:txPr>
            <c:showVal val="1"/>
          </c:dLbls>
          <c:cat>
            <c:strRef>
              <c:f>Sheet1!$B$54:$F$55</c:f>
              <c:strCache>
                <c:ptCount val="5"/>
                <c:pt idx="0">
                  <c:v>上等</c:v>
                </c:pt>
                <c:pt idx="1">
                  <c:v>中等偏上</c:v>
                </c:pt>
                <c:pt idx="2">
                  <c:v>中等</c:v>
                </c:pt>
                <c:pt idx="3">
                  <c:v>中等偏下</c:v>
                </c:pt>
                <c:pt idx="4">
                  <c:v>下等</c:v>
                </c:pt>
              </c:strCache>
            </c:strRef>
          </c:cat>
          <c:val>
            <c:numRef>
              <c:f>Sheet1!$B$58:$F$58</c:f>
              <c:numCache>
                <c:formatCode>General</c:formatCode>
                <c:ptCount val="5"/>
                <c:pt idx="0">
                  <c:v>5</c:v>
                </c:pt>
                <c:pt idx="1">
                  <c:v>18</c:v>
                </c:pt>
                <c:pt idx="2">
                  <c:v>25</c:v>
                </c:pt>
                <c:pt idx="3">
                  <c:v>40</c:v>
                </c:pt>
                <c:pt idx="4">
                  <c:v>13</c:v>
                </c:pt>
              </c:numCache>
            </c:numRef>
          </c:val>
        </c:ser>
        <c:shape val="cylinder"/>
        <c:axId val="128660992"/>
        <c:axId val="128662528"/>
        <c:axId val="0"/>
      </c:bar3DChart>
      <c:catAx>
        <c:axId val="128660992"/>
        <c:scaling>
          <c:orientation val="minMax"/>
        </c:scaling>
        <c:axPos val="b"/>
        <c:tickLblPos val="nextTo"/>
        <c:crossAx val="128662528"/>
        <c:crosses val="autoZero"/>
        <c:auto val="1"/>
        <c:lblAlgn val="ctr"/>
        <c:lblOffset val="100"/>
      </c:catAx>
      <c:valAx>
        <c:axId val="128662528"/>
        <c:scaling>
          <c:orientation val="minMax"/>
        </c:scaling>
        <c:axPos val="l"/>
        <c:majorGridlines/>
        <c:numFmt formatCode="General" sourceLinked="1"/>
        <c:tickLblPos val="nextTo"/>
        <c:crossAx val="128660992"/>
        <c:crosses val="autoZero"/>
        <c:crossBetween val="between"/>
      </c:valAx>
    </c:plotArea>
    <c:legend>
      <c:legendPos val="r"/>
    </c:legend>
    <c:plotVisOnly val="1"/>
  </c:chart>
  <c:spPr>
    <a:ln>
      <a:noFill/>
    </a:ln>
  </c:sp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2EFE9-6BBA-4E3F-A89F-A4364DBE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1563</TotalTime>
  <Pages>9</Pages>
  <Words>1074</Words>
  <Characters>6127</Characters>
  <Application>Microsoft Office Word</Application>
  <DocSecurity>0</DocSecurity>
  <Lines>51</Lines>
  <Paragraphs>14</Paragraphs>
  <ScaleCrop>false</ScaleCrop>
  <Company>CHINA</Company>
  <LinksUpToDate>false</LinksUpToDate>
  <CharactersWithSpaces>7187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2014-01-18T13:35:00Z</dcterms:created>
  <dc:creator>USER</dc:creator>
  <lastModifiedBy>User</lastModifiedBy>
  <dcterms:modified xsi:type="dcterms:W3CDTF">2016-11-10T01:25:00Z</dcterms:modified>
  <revision>59</revision>
</coreProperties>
</file>